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4C86" w14:textId="68D39968" w:rsidR="00F418F0" w:rsidRPr="00F418F0" w:rsidRDefault="00F418F0" w:rsidP="00F418F0">
      <w:pPr>
        <w:widowControl/>
        <w:autoSpaceDE/>
        <w:autoSpaceDN/>
        <w:spacing w:before="100" w:beforeAutospacing="1" w:after="100" w:afterAutospacing="1"/>
        <w:rPr>
          <w:rFonts w:ascii="Times New Roman" w:eastAsia="Times New Roman" w:hAnsi="Times New Roman" w:cs="Times New Roman"/>
          <w:sz w:val="24"/>
          <w:szCs w:val="24"/>
          <w:lang w:val="de-CH" w:eastAsia="fr-CH"/>
        </w:rPr>
      </w:pPr>
      <w:r w:rsidRPr="00866EA2">
        <w:rPr>
          <w:rFonts w:ascii="Tahoma"/>
          <w:smallCaps/>
          <w:spacing w:val="-2"/>
          <w:sz w:val="16"/>
          <w:lang w:val="de-CH"/>
        </w:rPr>
        <w:t>Claudio Borio</w:t>
      </w:r>
      <w:r w:rsidRPr="00F418F0">
        <w:rPr>
          <w:rFonts w:ascii="Times New Roman" w:eastAsia="Times New Roman" w:hAnsi="Times New Roman" w:cs="Times New Roman"/>
          <w:sz w:val="24"/>
          <w:szCs w:val="24"/>
          <w:lang w:val="de-CH" w:eastAsia="fr-CH"/>
        </w:rPr>
        <w:br/>
      </w:r>
      <w:r w:rsidRPr="00866EA2">
        <w:rPr>
          <w:rFonts w:ascii="Tahoma"/>
          <w:sz w:val="16"/>
          <w:lang w:val="de-CH"/>
        </w:rPr>
        <w:t>Ehemaliger Leiter des W</w:t>
      </w:r>
      <w:r w:rsidRPr="00866EA2">
        <w:rPr>
          <w:rFonts w:ascii="Tahoma"/>
          <w:sz w:val="16"/>
          <w:lang w:val="de-CH"/>
        </w:rPr>
        <w:t>ä</w:t>
      </w:r>
      <w:r w:rsidRPr="00866EA2">
        <w:rPr>
          <w:rFonts w:ascii="Tahoma"/>
          <w:sz w:val="16"/>
          <w:lang w:val="de-CH"/>
        </w:rPr>
        <w:t>hrungs- und Wirtschaftsdepartements</w:t>
      </w:r>
      <w:r w:rsidR="00866EA2" w:rsidRPr="00866EA2">
        <w:rPr>
          <w:rFonts w:ascii="Tahoma"/>
          <w:sz w:val="16"/>
          <w:lang w:val="de-CH"/>
        </w:rPr>
        <w:t xml:space="preserve"> </w:t>
      </w:r>
      <w:r w:rsidRPr="00866EA2">
        <w:rPr>
          <w:rFonts w:ascii="Tahoma"/>
          <w:sz w:val="16"/>
          <w:lang w:val="de-CH"/>
        </w:rPr>
        <w:t>Bank f</w:t>
      </w:r>
      <w:r w:rsidRPr="00866EA2">
        <w:rPr>
          <w:rFonts w:ascii="Tahoma"/>
          <w:sz w:val="16"/>
          <w:lang w:val="de-CH"/>
        </w:rPr>
        <w:t>ü</w:t>
      </w:r>
      <w:r w:rsidRPr="00866EA2">
        <w:rPr>
          <w:rFonts w:ascii="Tahoma"/>
          <w:sz w:val="16"/>
          <w:lang w:val="de-CH"/>
        </w:rPr>
        <w:t xml:space="preserve">r Internationalen Zahlungsausgleich (BIZ), Basel </w:t>
      </w:r>
      <w:r w:rsidRPr="00866EA2">
        <w:rPr>
          <w:rFonts w:ascii="Tahoma"/>
          <w:sz w:val="16"/>
          <w:lang w:val="de-CH"/>
        </w:rPr>
        <w:t>–</w:t>
      </w:r>
      <w:r w:rsidRPr="00866EA2">
        <w:rPr>
          <w:rFonts w:ascii="Tahoma"/>
          <w:sz w:val="16"/>
          <w:lang w:val="de-CH"/>
        </w:rPr>
        <w:t xml:space="preserve"> Schweiz</w:t>
      </w:r>
    </w:p>
    <w:p w14:paraId="530F00DD" w14:textId="77777777" w:rsidR="00866EA2" w:rsidRDefault="00866EA2" w:rsidP="00866EA2">
      <w:pPr>
        <w:pStyle w:val="Corpsdetexte"/>
        <w:ind w:left="1"/>
        <w:rPr>
          <w:smallCaps/>
          <w:spacing w:val="-2"/>
          <w:lang w:val="de-CH"/>
        </w:rPr>
      </w:pPr>
    </w:p>
    <w:p w14:paraId="4BF0229A" w14:textId="77777777" w:rsidR="00866EA2" w:rsidRPr="00866EA2" w:rsidRDefault="00866EA2" w:rsidP="00866EA2">
      <w:pPr>
        <w:widowControl/>
        <w:autoSpaceDE/>
        <w:autoSpaceDN/>
        <w:spacing w:before="100" w:beforeAutospacing="1" w:after="100" w:afterAutospacing="1"/>
        <w:jc w:val="center"/>
        <w:outlineLvl w:val="0"/>
        <w:rPr>
          <w:sz w:val="32"/>
          <w:szCs w:val="32"/>
        </w:rPr>
      </w:pPr>
      <w:r w:rsidRPr="00866EA2">
        <w:rPr>
          <w:sz w:val="32"/>
          <w:szCs w:val="32"/>
        </w:rPr>
        <w:t>WOLKEN AM HORIZONT DER WELTWIRTSCHAFT:</w:t>
      </w:r>
    </w:p>
    <w:p w14:paraId="566C5096" w14:textId="77777777" w:rsidR="00866EA2" w:rsidRPr="00D73ABC" w:rsidRDefault="00866EA2" w:rsidP="00866EA2">
      <w:pPr>
        <w:widowControl/>
        <w:autoSpaceDE/>
        <w:autoSpaceDN/>
        <w:spacing w:before="100" w:beforeAutospacing="1" w:after="100" w:afterAutospacing="1"/>
        <w:jc w:val="center"/>
        <w:outlineLvl w:val="1"/>
        <w:rPr>
          <w:sz w:val="32"/>
          <w:szCs w:val="32"/>
          <w:lang w:val="de-CH"/>
        </w:rPr>
      </w:pPr>
      <w:r w:rsidRPr="00D73ABC">
        <w:rPr>
          <w:sz w:val="32"/>
          <w:szCs w:val="32"/>
          <w:lang w:val="de-CH"/>
        </w:rPr>
        <w:t>DIE BEDEUTUNG EINER LANGFRISTIGEN PERSPEKTIVE</w:t>
      </w:r>
    </w:p>
    <w:p w14:paraId="44BEC732" w14:textId="77777777" w:rsidR="00D73ABC" w:rsidRDefault="00D73ABC" w:rsidP="00D73ABC">
      <w:pPr>
        <w:widowControl/>
        <w:autoSpaceDE/>
        <w:autoSpaceDN/>
        <w:jc w:val="center"/>
        <w:rPr>
          <w:b/>
          <w:bCs/>
          <w:color w:val="548DD4" w:themeColor="text2" w:themeTint="99"/>
          <w:sz w:val="18"/>
          <w:szCs w:val="18"/>
          <w:lang w:val="de-CH"/>
        </w:rPr>
      </w:pPr>
      <w:r w:rsidRPr="00D73ABC">
        <w:rPr>
          <w:b/>
          <w:bCs/>
          <w:color w:val="548DD4" w:themeColor="text2" w:themeTint="99"/>
          <w:sz w:val="18"/>
          <w:szCs w:val="18"/>
          <w:lang w:val="de-CH"/>
        </w:rPr>
        <w:t xml:space="preserve">Übersetzt mit ChatGPT – die englische Originalversion gilt – </w:t>
      </w:r>
    </w:p>
    <w:p w14:paraId="00F12417" w14:textId="794AC6EF" w:rsidR="00D73ABC" w:rsidRPr="00D73ABC" w:rsidRDefault="00D73ABC" w:rsidP="00D73ABC">
      <w:pPr>
        <w:widowControl/>
        <w:autoSpaceDE/>
        <w:autoSpaceDN/>
        <w:jc w:val="center"/>
        <w:rPr>
          <w:b/>
          <w:bCs/>
          <w:color w:val="548DD4" w:themeColor="text2" w:themeTint="99"/>
          <w:sz w:val="18"/>
          <w:szCs w:val="18"/>
          <w:lang w:val="de-CH"/>
        </w:rPr>
      </w:pPr>
      <w:r w:rsidRPr="00D73ABC">
        <w:rPr>
          <w:b/>
          <w:bCs/>
          <w:color w:val="548DD4" w:themeColor="text2" w:themeTint="99"/>
          <w:sz w:val="18"/>
          <w:szCs w:val="18"/>
          <w:lang w:val="de-CH"/>
        </w:rPr>
        <w:t>Fußnoten sind in der englischen Originalversion zu finden.</w:t>
      </w:r>
    </w:p>
    <w:p w14:paraId="1A63D262" w14:textId="77777777" w:rsidR="00866EA2" w:rsidRDefault="00866EA2" w:rsidP="00866EA2">
      <w:pPr>
        <w:pStyle w:val="Corpsdetexte"/>
        <w:ind w:left="1"/>
        <w:rPr>
          <w:smallCaps/>
          <w:spacing w:val="-2"/>
          <w:lang w:val="de-CH"/>
        </w:rPr>
      </w:pPr>
    </w:p>
    <w:p w14:paraId="1D07B67A" w14:textId="77777777" w:rsidR="00866EA2" w:rsidRDefault="00866EA2" w:rsidP="00866EA2">
      <w:pPr>
        <w:pStyle w:val="Corpsdetexte"/>
        <w:ind w:left="1"/>
        <w:rPr>
          <w:smallCaps/>
          <w:spacing w:val="-2"/>
          <w:lang w:val="de-CH"/>
        </w:rPr>
      </w:pPr>
    </w:p>
    <w:p w14:paraId="2FBAB2FB" w14:textId="028AAC7C" w:rsidR="00F418F0" w:rsidRPr="00866EA2" w:rsidRDefault="00F418F0" w:rsidP="00866EA2">
      <w:pPr>
        <w:pStyle w:val="Corpsdetexte"/>
        <w:ind w:left="1"/>
        <w:jc w:val="center"/>
        <w:rPr>
          <w:smallCaps/>
          <w:spacing w:val="-2"/>
        </w:rPr>
      </w:pPr>
      <w:proofErr w:type="spellStart"/>
      <w:r w:rsidRPr="00866EA2">
        <w:rPr>
          <w:smallCaps/>
          <w:spacing w:val="-2"/>
        </w:rPr>
        <w:t>Zusammenfassung</w:t>
      </w:r>
      <w:proofErr w:type="spellEnd"/>
    </w:p>
    <w:p w14:paraId="7CA3A6B5" w14:textId="77777777" w:rsidR="00866EA2" w:rsidRDefault="00866EA2" w:rsidP="00C30684">
      <w:pPr>
        <w:pStyle w:val="Corpsdetexte"/>
        <w:spacing w:line="379" w:lineRule="auto"/>
        <w:ind w:left="1" w:right="136"/>
        <w:jc w:val="both"/>
      </w:pPr>
    </w:p>
    <w:p w14:paraId="28711C3B" w14:textId="20E7EE0A" w:rsidR="00F418F0" w:rsidRPr="00C30684" w:rsidRDefault="00F418F0" w:rsidP="00C30684">
      <w:pPr>
        <w:pStyle w:val="Corpsdetexte"/>
        <w:spacing w:line="379" w:lineRule="auto"/>
        <w:ind w:left="1" w:right="136"/>
        <w:jc w:val="both"/>
      </w:pPr>
      <w:r w:rsidRPr="00866EA2">
        <w:rPr>
          <w:lang w:val="de-CH"/>
        </w:rPr>
        <w:t xml:space="preserve">Aus makrofinanzieller Perspektive ziehen am Horizont der Weltwirtschaft dunkle Wolken auf. </w:t>
      </w:r>
      <w:r w:rsidRPr="00C30684">
        <w:t xml:space="preserve">Ursache </w:t>
      </w:r>
      <w:proofErr w:type="spellStart"/>
      <w:r w:rsidRPr="00C30684">
        <w:t>hierfür</w:t>
      </w:r>
      <w:proofErr w:type="spellEnd"/>
      <w:r w:rsidRPr="00C30684">
        <w:t xml:space="preserve"> </w:t>
      </w:r>
      <w:proofErr w:type="spellStart"/>
      <w:r w:rsidRPr="00C30684">
        <w:t>ist</w:t>
      </w:r>
      <w:proofErr w:type="spellEnd"/>
      <w:r w:rsidRPr="00C30684">
        <w:t xml:space="preserve"> das Zusammentreffen zweier besonders starker Kräfte.</w:t>
      </w:r>
    </w:p>
    <w:p w14:paraId="1654BD22" w14:textId="77777777" w:rsidR="00F418F0" w:rsidRPr="00C30684" w:rsidRDefault="00F418F0" w:rsidP="00C30684">
      <w:pPr>
        <w:pStyle w:val="Corpsdetexte"/>
        <w:spacing w:line="379" w:lineRule="auto"/>
        <w:ind w:left="1" w:right="136"/>
        <w:jc w:val="both"/>
      </w:pPr>
      <w:r w:rsidRPr="00C30684">
        <w:t>Zum einen hat der Finanzzyklus an Dynamik verloren, während der Regulierungszyklus auf eine Schwächung des Finanzsystems hindeutet und damit das Risiko finanzieller Instabilität erhöht. Zum anderen untergräbt die unaufhaltsame Verschlechterung der öffentlichen Finanzen deren Nachhaltigkeit und stellt mittel- und langfristig das grösste Risiko für die monetäre, finanzielle und makroökonomische Stabilität dar.</w:t>
      </w:r>
    </w:p>
    <w:p w14:paraId="4BE86F95" w14:textId="77777777" w:rsidR="00F418F0" w:rsidRPr="00C30684" w:rsidRDefault="00F418F0" w:rsidP="00C30684">
      <w:pPr>
        <w:pStyle w:val="Corpsdetexte"/>
        <w:spacing w:line="379" w:lineRule="auto"/>
        <w:ind w:left="1" w:right="136"/>
        <w:jc w:val="both"/>
      </w:pPr>
      <w:r w:rsidRPr="00C30684">
        <w:t>Vor diesem Hintergrund verschärfen politische und geopolitische Entwicklungen die bestehenden Herausforderungen zusätzlich.</w:t>
      </w:r>
    </w:p>
    <w:p w14:paraId="2F0D83BE" w14:textId="77777777" w:rsidR="00F418F0" w:rsidRPr="00C30684" w:rsidRDefault="00F418F0" w:rsidP="00C30684">
      <w:pPr>
        <w:pStyle w:val="Corpsdetexte"/>
        <w:spacing w:line="379" w:lineRule="auto"/>
        <w:ind w:left="1" w:right="136"/>
        <w:jc w:val="both"/>
      </w:pPr>
      <w:r w:rsidRPr="00C30684">
        <w:t>Die Suche nach angemessenen Lösungen erfordert eine langfristige Perspektive, die Wiederherstellung von Sicherheitsmargen sowie die Abkehr von der „Wachstumsillusion“ – also von der Vorstellung, dass eine über längere Zeit expansive Geld- und Fiskalpolitik zu einem nachhaltig höheren Wirtschaftswachstum führen könne.</w:t>
      </w:r>
    </w:p>
    <w:p w14:paraId="3483D6FB" w14:textId="77777777" w:rsidR="00F418F0" w:rsidRPr="00C30684" w:rsidRDefault="00F418F0" w:rsidP="00866EA2">
      <w:pPr>
        <w:pStyle w:val="Corpsdetexte"/>
        <w:spacing w:line="379" w:lineRule="auto"/>
        <w:ind w:left="1" w:right="136"/>
        <w:jc w:val="both"/>
      </w:pPr>
      <w:r w:rsidRPr="00866EA2">
        <w:rPr>
          <w:rFonts w:ascii="Tahoma"/>
          <w:b/>
          <w:spacing w:val="-2"/>
          <w:sz w:val="16"/>
        </w:rPr>
        <w:t>Schlagw</w:t>
      </w:r>
      <w:r w:rsidRPr="00866EA2">
        <w:rPr>
          <w:rFonts w:ascii="Tahoma"/>
          <w:b/>
          <w:spacing w:val="-2"/>
          <w:sz w:val="16"/>
        </w:rPr>
        <w:t>ö</w:t>
      </w:r>
      <w:r w:rsidRPr="00866EA2">
        <w:rPr>
          <w:rFonts w:ascii="Tahoma"/>
          <w:b/>
          <w:spacing w:val="-2"/>
          <w:sz w:val="16"/>
        </w:rPr>
        <w:t>rter:</w:t>
      </w:r>
      <w:r w:rsidRPr="00C30684">
        <w:t xml:space="preserve"> </w:t>
      </w:r>
      <w:r w:rsidRPr="00866EA2">
        <w:rPr>
          <w:rFonts w:ascii="Tahoma"/>
          <w:spacing w:val="-2"/>
          <w:sz w:val="16"/>
        </w:rPr>
        <w:t xml:space="preserve">Finanzzyklus; Regulierungszyklus; </w:t>
      </w:r>
      <w:r w:rsidRPr="00866EA2">
        <w:rPr>
          <w:rFonts w:ascii="Tahoma"/>
          <w:spacing w:val="-2"/>
          <w:sz w:val="16"/>
        </w:rPr>
        <w:t>ö</w:t>
      </w:r>
      <w:r w:rsidRPr="00866EA2">
        <w:rPr>
          <w:rFonts w:ascii="Tahoma"/>
          <w:spacing w:val="-2"/>
          <w:sz w:val="16"/>
        </w:rPr>
        <w:t>ffentliche Finanzen; Geldpolitik; langfristige Perspektive; Sicherheitsmargen; Wachstumsillusion</w:t>
      </w:r>
    </w:p>
    <w:p w14:paraId="40DB358C" w14:textId="77777777" w:rsidR="00F418F0" w:rsidRPr="00C30684" w:rsidRDefault="00F418F0" w:rsidP="00866EA2">
      <w:pPr>
        <w:pStyle w:val="Corpsdetexte"/>
        <w:spacing w:line="379" w:lineRule="auto"/>
        <w:ind w:left="1" w:right="136"/>
        <w:jc w:val="both"/>
      </w:pPr>
      <w:r w:rsidRPr="00866EA2">
        <w:rPr>
          <w:rFonts w:ascii="Tahoma"/>
          <w:b/>
          <w:spacing w:val="-2"/>
          <w:sz w:val="16"/>
        </w:rPr>
        <w:t>JEL-Klassifikation:</w:t>
      </w:r>
      <w:r w:rsidRPr="00C30684">
        <w:t xml:space="preserve"> </w:t>
      </w:r>
      <w:r w:rsidRPr="00866EA2">
        <w:rPr>
          <w:rFonts w:ascii="Tahoma"/>
          <w:spacing w:val="-2"/>
          <w:sz w:val="16"/>
        </w:rPr>
        <w:t>E30; E44; E50; G20; G28; H60</w:t>
      </w:r>
    </w:p>
    <w:p w14:paraId="34A217F2" w14:textId="52966BDF" w:rsidR="00F418F0" w:rsidRPr="00F418F0" w:rsidRDefault="00F418F0" w:rsidP="00F418F0">
      <w:pPr>
        <w:widowControl/>
        <w:autoSpaceDE/>
        <w:autoSpaceDN/>
        <w:rPr>
          <w:rFonts w:ascii="Times New Roman" w:eastAsia="Times New Roman" w:hAnsi="Times New Roman" w:cs="Times New Roman"/>
          <w:sz w:val="24"/>
          <w:szCs w:val="24"/>
          <w:lang w:val="fr-CH" w:eastAsia="fr-CH"/>
        </w:rPr>
      </w:pPr>
    </w:p>
    <w:p w14:paraId="497D81D2" w14:textId="77777777" w:rsidR="00F418F0" w:rsidRPr="00866EA2" w:rsidRDefault="00F418F0" w:rsidP="00866EA2">
      <w:pPr>
        <w:pStyle w:val="Corpsdetexte"/>
        <w:ind w:left="1"/>
        <w:rPr>
          <w:smallCaps/>
          <w:spacing w:val="-2"/>
        </w:rPr>
      </w:pPr>
      <w:r w:rsidRPr="00866EA2">
        <w:rPr>
          <w:smallCaps/>
          <w:spacing w:val="-2"/>
        </w:rPr>
        <w:t>Einleitung</w:t>
      </w:r>
    </w:p>
    <w:p w14:paraId="7544C381" w14:textId="77777777" w:rsidR="00866EA2" w:rsidRDefault="00866EA2" w:rsidP="00866EA2">
      <w:pPr>
        <w:pStyle w:val="Corpsdetexte"/>
        <w:spacing w:line="379" w:lineRule="auto"/>
        <w:ind w:left="1" w:right="135"/>
        <w:jc w:val="both"/>
      </w:pPr>
    </w:p>
    <w:p w14:paraId="6EEA2622" w14:textId="2D3F6CFC" w:rsidR="00F418F0" w:rsidRDefault="00F418F0" w:rsidP="0097763B">
      <w:pPr>
        <w:pStyle w:val="Corpsdetexte"/>
        <w:spacing w:after="240" w:line="379" w:lineRule="auto"/>
        <w:ind w:left="1" w:right="135"/>
        <w:jc w:val="both"/>
      </w:pPr>
      <w:r w:rsidRPr="00866EA2">
        <w:rPr>
          <w:lang w:val="de-CH"/>
        </w:rPr>
        <w:t xml:space="preserve">Ich möchte dem Rektor sowie dem Departement für Politik- und Internationale Wissenschaften der Universität Genua dafür danken, mir diese Ehrendoktorwürde zu verleihen. </w:t>
      </w:r>
      <w:r w:rsidRPr="00866EA2">
        <w:t xml:space="preserve">Es </w:t>
      </w:r>
      <w:proofErr w:type="spellStart"/>
      <w:r w:rsidRPr="00866EA2">
        <w:t>ist</w:t>
      </w:r>
      <w:proofErr w:type="spellEnd"/>
      <w:r w:rsidRPr="00866EA2">
        <w:t xml:space="preserve"> mir </w:t>
      </w:r>
      <w:proofErr w:type="spellStart"/>
      <w:r w:rsidRPr="00866EA2">
        <w:t>eine</w:t>
      </w:r>
      <w:proofErr w:type="spellEnd"/>
      <w:r w:rsidRPr="00866EA2">
        <w:t xml:space="preserve"> grosse Ehre, heute hier an dieser altehrwürdigen und renommierten Universität zu sein. Für jemanden wie mich, der nahezu sein gesamtes Leben im Ausland verbracht hat, besitzt dieser Anlass eine ganz besondere Bedeutung und </w:t>
      </w:r>
      <w:proofErr w:type="spellStart"/>
      <w:r w:rsidRPr="00866EA2">
        <w:t>einen</w:t>
      </w:r>
      <w:proofErr w:type="spellEnd"/>
      <w:r w:rsidRPr="00866EA2">
        <w:t xml:space="preserve"> </w:t>
      </w:r>
      <w:proofErr w:type="spellStart"/>
      <w:r w:rsidRPr="00866EA2">
        <w:t>besonderen</w:t>
      </w:r>
      <w:proofErr w:type="spellEnd"/>
      <w:r w:rsidRPr="00866EA2">
        <w:t xml:space="preserve"> </w:t>
      </w:r>
      <w:proofErr w:type="spellStart"/>
      <w:r w:rsidRPr="00866EA2">
        <w:t>persönlichen</w:t>
      </w:r>
      <w:proofErr w:type="spellEnd"/>
      <w:r w:rsidRPr="00866EA2">
        <w:t xml:space="preserve"> Reiz.</w:t>
      </w:r>
    </w:p>
    <w:p w14:paraId="0C45BC0C" w14:textId="77777777" w:rsidR="0097763B" w:rsidRPr="00866EA2" w:rsidRDefault="0097763B" w:rsidP="00866EA2">
      <w:pPr>
        <w:pStyle w:val="Corpsdetexte"/>
        <w:spacing w:line="379" w:lineRule="auto"/>
        <w:ind w:left="1" w:right="135"/>
        <w:jc w:val="both"/>
      </w:pPr>
    </w:p>
    <w:p w14:paraId="6E1C480D" w14:textId="4773A996" w:rsidR="00F418F0" w:rsidRPr="00866EA2" w:rsidRDefault="00F418F0" w:rsidP="0097763B">
      <w:pPr>
        <w:pStyle w:val="Corpsdetexte"/>
        <w:spacing w:after="240" w:line="379" w:lineRule="auto"/>
        <w:ind w:left="1" w:right="135"/>
        <w:jc w:val="both"/>
      </w:pPr>
      <w:r w:rsidRPr="00866EA2">
        <w:t xml:space="preserve">Mit dieser Ansprache möchte ich einige persönliche Überlegungen zu den Herausforderungen darlegen, denen sich die Weltwirtschaft gegenübersieht. </w:t>
      </w:r>
      <w:r w:rsidRPr="0097763B">
        <w:rPr>
          <w:lang w:val="de-CH"/>
        </w:rPr>
        <w:t>Dabei werde ich mich insbesondere auf jene Herausforderungen konzentrieren, die sich aus der Verbindung von Makroökonomie und Finanzwesen ergeben.</w:t>
      </w:r>
      <w:r w:rsidR="0097763B" w:rsidRPr="0097763B">
        <w:rPr>
          <w:lang w:val="de-CH"/>
        </w:rPr>
        <w:t xml:space="preserve"> </w:t>
      </w:r>
      <w:r w:rsidRPr="0097763B">
        <w:rPr>
          <w:lang w:val="de-CH"/>
        </w:rPr>
        <w:t xml:space="preserve">Es handelt sich um tiefgreifende Herausforderungen, deren Ursachen weit zurückreichen. </w:t>
      </w:r>
      <w:r w:rsidRPr="00866EA2">
        <w:t xml:space="preserve">Ich </w:t>
      </w:r>
      <w:proofErr w:type="spellStart"/>
      <w:r w:rsidRPr="00866EA2">
        <w:t>möchte</w:t>
      </w:r>
      <w:proofErr w:type="spellEnd"/>
      <w:r w:rsidRPr="00866EA2">
        <w:t xml:space="preserve"> </w:t>
      </w:r>
      <w:proofErr w:type="spellStart"/>
      <w:r w:rsidRPr="00866EA2">
        <w:t>dabei</w:t>
      </w:r>
      <w:proofErr w:type="spellEnd"/>
      <w:r w:rsidRPr="00866EA2">
        <w:t xml:space="preserve"> auf meine langjährige berufliche Erfahrung zurückgreifen, die mich zunächst bei der OECD in Paris und anschliessend während nahezu vier Jahrzehnten bei der Bank für Internationalen Zahlungsausgleich (BIZ) in Basel mit der Erforschung wirtschaftlicher Zusammenhänge und der Analyse wirtschaftspolitischer Fragen beschäftigt hat.</w:t>
      </w:r>
    </w:p>
    <w:p w14:paraId="3442EF4B" w14:textId="484C96F3" w:rsidR="00F418F0" w:rsidRPr="0097763B" w:rsidRDefault="00F418F0" w:rsidP="0097763B">
      <w:pPr>
        <w:pStyle w:val="Corpsdetexte"/>
        <w:spacing w:after="240" w:line="379" w:lineRule="auto"/>
        <w:ind w:left="1" w:right="135"/>
        <w:jc w:val="both"/>
        <w:rPr>
          <w:lang w:val="de-CH"/>
        </w:rPr>
      </w:pPr>
      <w:r w:rsidRPr="00866EA2">
        <w:t xml:space="preserve">Der rote Faden dieser Ansprache – und hierbei lasse ich mich auch von meinem verstorbenen Kollegen Tommaso Padoa-Schioppa inspirieren – ist die Notwendigkeit, eine langfristige Perspektive einzunehmen. </w:t>
      </w:r>
      <w:r w:rsidRPr="0097763B">
        <w:rPr>
          <w:lang w:val="de-CH"/>
        </w:rPr>
        <w:t>Es wäre unrealistisch, von den Marktteilnehmern eine solche langfristige Perspektive zu erwarten; von Ökonominnen und Ökonomen und insbesondere von den wirtschaftspolitischen Entscheidungsträgern ist sie jedoch durchaus zu erwarten.</w:t>
      </w:r>
      <w:r w:rsidR="0097763B" w:rsidRPr="0097763B">
        <w:rPr>
          <w:lang w:val="de-CH"/>
        </w:rPr>
        <w:t xml:space="preserve"> </w:t>
      </w:r>
      <w:r w:rsidRPr="0097763B">
        <w:rPr>
          <w:lang w:val="de-CH"/>
        </w:rPr>
        <w:t>Denn, wie Jean Monnet einst fragte: Was ist Politik anderes als die Kunst, das Notwendige möglich zu machen?</w:t>
      </w:r>
    </w:p>
    <w:p w14:paraId="793D518E" w14:textId="2A75C0BB" w:rsidR="00F418F0" w:rsidRPr="00866EA2" w:rsidRDefault="00F418F0" w:rsidP="0097763B">
      <w:pPr>
        <w:pStyle w:val="Corpsdetexte"/>
        <w:spacing w:after="240" w:line="379" w:lineRule="auto"/>
        <w:ind w:left="1" w:right="135"/>
        <w:jc w:val="both"/>
      </w:pPr>
      <w:r w:rsidRPr="00866EA2">
        <w:t xml:space="preserve">Aus </w:t>
      </w:r>
      <w:proofErr w:type="spellStart"/>
      <w:r w:rsidRPr="00866EA2">
        <w:t>makrofinanzieller</w:t>
      </w:r>
      <w:proofErr w:type="spellEnd"/>
      <w:r w:rsidRPr="00866EA2">
        <w:t xml:space="preserve"> </w:t>
      </w:r>
      <w:proofErr w:type="spellStart"/>
      <w:r w:rsidRPr="00866EA2">
        <w:t>Perspektive</w:t>
      </w:r>
      <w:proofErr w:type="spellEnd"/>
      <w:r w:rsidRPr="00866EA2">
        <w:t xml:space="preserve"> </w:t>
      </w:r>
      <w:proofErr w:type="spellStart"/>
      <w:r w:rsidRPr="00866EA2">
        <w:t>ziehen</w:t>
      </w:r>
      <w:proofErr w:type="spellEnd"/>
      <w:r w:rsidRPr="00866EA2">
        <w:t xml:space="preserve"> am Horizont der Weltwirtschaft dunkle Wolken auf. </w:t>
      </w:r>
      <w:r w:rsidRPr="0097763B">
        <w:rPr>
          <w:lang w:val="de-CH"/>
        </w:rPr>
        <w:t>Ursache hierfür ist das Zusammentreffen zweier besonders starker Kräfte.</w:t>
      </w:r>
      <w:r w:rsidR="0097763B" w:rsidRPr="0097763B">
        <w:rPr>
          <w:lang w:val="de-CH"/>
        </w:rPr>
        <w:t xml:space="preserve"> </w:t>
      </w:r>
      <w:r w:rsidRPr="0097763B">
        <w:rPr>
          <w:lang w:val="de-CH"/>
        </w:rPr>
        <w:t>Zum einen hat die Aufwärtsphase des Finanzzyklus an Dynamik verloren oder scheint bereits in eine andere Phase überzugehen, während der Regulierungszyklus darauf abzielt, die Schutzmechanismen des Finanzsystems zu schwächen. All dies erhöht das Risiko finanzieller Instabilität in den kommenden Jahren.</w:t>
      </w:r>
      <w:r w:rsidR="0097763B" w:rsidRPr="0097763B">
        <w:rPr>
          <w:lang w:val="de-CH"/>
        </w:rPr>
        <w:t xml:space="preserve"> </w:t>
      </w:r>
      <w:r w:rsidRPr="0097763B">
        <w:rPr>
          <w:lang w:val="de-CH"/>
        </w:rPr>
        <w:t xml:space="preserve">Zum anderen untergräbt, wie Carlo Cottarelli in seiner vor knapp zehn Jahren an dieser Universität gehaltenen </w:t>
      </w:r>
      <w:proofErr w:type="spellStart"/>
      <w:r w:rsidRPr="0097763B">
        <w:rPr>
          <w:lang w:val="de-CH"/>
        </w:rPr>
        <w:t>Lectio</w:t>
      </w:r>
      <w:proofErr w:type="spellEnd"/>
      <w:r w:rsidRPr="0097763B">
        <w:rPr>
          <w:lang w:val="de-CH"/>
        </w:rPr>
        <w:t xml:space="preserve"> </w:t>
      </w:r>
      <w:proofErr w:type="spellStart"/>
      <w:r w:rsidRPr="0097763B">
        <w:rPr>
          <w:lang w:val="de-CH"/>
        </w:rPr>
        <w:t>Magistralis</w:t>
      </w:r>
      <w:proofErr w:type="spellEnd"/>
      <w:r w:rsidRPr="0097763B">
        <w:rPr>
          <w:lang w:val="de-CH"/>
        </w:rPr>
        <w:t xml:space="preserve"> feststellte, die unaufhaltsame Verschlechterung der öffentlichen Finanzen deren Nachhaltigkeit. </w:t>
      </w:r>
      <w:r w:rsidRPr="00866EA2">
        <w:t xml:space="preserve">Mittel- und </w:t>
      </w:r>
      <w:proofErr w:type="spellStart"/>
      <w:r w:rsidRPr="00866EA2">
        <w:t>langfristig</w:t>
      </w:r>
      <w:proofErr w:type="spellEnd"/>
      <w:r w:rsidRPr="00866EA2">
        <w:t xml:space="preserve"> </w:t>
      </w:r>
      <w:proofErr w:type="spellStart"/>
      <w:r w:rsidRPr="00866EA2">
        <w:t>stellt</w:t>
      </w:r>
      <w:proofErr w:type="spellEnd"/>
      <w:r w:rsidRPr="00866EA2">
        <w:t xml:space="preserve"> dies das grösste Risiko für die monetäre, finanzielle und makroökonomische Stabilität der Weltwirtschaft dar.</w:t>
      </w:r>
    </w:p>
    <w:p w14:paraId="406EB77C" w14:textId="77777777" w:rsidR="00F418F0" w:rsidRPr="00866EA2" w:rsidRDefault="00F418F0" w:rsidP="00866EA2">
      <w:pPr>
        <w:pStyle w:val="Corpsdetexte"/>
        <w:spacing w:line="379" w:lineRule="auto"/>
        <w:ind w:left="1" w:right="135"/>
        <w:jc w:val="both"/>
      </w:pPr>
      <w:r w:rsidRPr="00866EA2">
        <w:t>All dies ereignet sich in einem politischen und geopolitischen Umfeld, das diese Entwicklungen zusätzlich begünstigt und die Suche nach angemessenen Lösungen erschwert.</w:t>
      </w:r>
    </w:p>
    <w:p w14:paraId="7281F679" w14:textId="77777777" w:rsidR="00F418F0" w:rsidRPr="00866EA2" w:rsidRDefault="00F418F0" w:rsidP="0097763B">
      <w:pPr>
        <w:pStyle w:val="Corpsdetexte"/>
        <w:spacing w:after="240" w:line="379" w:lineRule="auto"/>
        <w:ind w:left="1" w:right="135"/>
        <w:jc w:val="both"/>
      </w:pPr>
      <w:r w:rsidRPr="00866EA2">
        <w:t>Im weiteren Verlauf meiner Ansprache möchte ich die rein wirtschaftlichen Aspekte eingehender betrachten, ohne dabei die politischen und geopolitischen Dimensionen vollständig ausser Acht zu lassen.</w:t>
      </w:r>
    </w:p>
    <w:p w14:paraId="7ED96568" w14:textId="75A6ABAE" w:rsidR="00F418F0" w:rsidRPr="00F418F0" w:rsidRDefault="00F418F0" w:rsidP="00F418F0">
      <w:pPr>
        <w:widowControl/>
        <w:autoSpaceDE/>
        <w:autoSpaceDN/>
        <w:rPr>
          <w:rFonts w:ascii="Times New Roman" w:eastAsia="Times New Roman" w:hAnsi="Times New Roman" w:cs="Times New Roman"/>
          <w:sz w:val="24"/>
          <w:szCs w:val="24"/>
          <w:lang w:val="fr-CH" w:eastAsia="fr-CH"/>
        </w:rPr>
      </w:pPr>
    </w:p>
    <w:p w14:paraId="751444E2" w14:textId="77777777" w:rsidR="00F418F0" w:rsidRPr="00D73ABC" w:rsidRDefault="00F418F0" w:rsidP="0097763B">
      <w:pPr>
        <w:pStyle w:val="Titre1"/>
        <w:spacing w:after="240"/>
        <w:jc w:val="both"/>
        <w:rPr>
          <w:i w:val="0"/>
          <w:iCs w:val="0"/>
          <w:smallCaps/>
          <w:spacing w:val="-2"/>
          <w:sz w:val="22"/>
          <w:szCs w:val="22"/>
        </w:rPr>
      </w:pPr>
      <w:r w:rsidRPr="00D73ABC">
        <w:rPr>
          <w:i w:val="0"/>
          <w:iCs w:val="0"/>
          <w:smallCaps/>
          <w:spacing w:val="-2"/>
          <w:sz w:val="22"/>
          <w:szCs w:val="22"/>
        </w:rPr>
        <w:t>Wirtschaftliche Kräfte</w:t>
      </w:r>
    </w:p>
    <w:p w14:paraId="25A386EB" w14:textId="77777777" w:rsidR="00F418F0" w:rsidRPr="0097763B" w:rsidRDefault="00F418F0" w:rsidP="0097763B">
      <w:pPr>
        <w:pStyle w:val="Corpsdetexte"/>
        <w:spacing w:line="376" w:lineRule="auto"/>
        <w:ind w:left="1" w:right="137"/>
        <w:jc w:val="both"/>
        <w:rPr>
          <w:spacing w:val="-2"/>
        </w:rPr>
      </w:pPr>
      <w:r w:rsidRPr="0097763B">
        <w:rPr>
          <w:spacing w:val="-2"/>
        </w:rPr>
        <w:t>Beginnen möchte ich mit den wirtschaftlichen Kräften. Im Mittelpunkt stehen zunächst die Wechselwirkung zwischen Finanz- und Regulierungszyklus und anschliessend die Nachhaltigkeit der öffentlichen Finanzen.</w:t>
      </w:r>
    </w:p>
    <w:p w14:paraId="64EEF60E" w14:textId="77777777" w:rsidR="0097763B" w:rsidRDefault="0097763B" w:rsidP="0097763B">
      <w:pPr>
        <w:pStyle w:val="Corpsdetexte"/>
        <w:spacing w:line="376" w:lineRule="auto"/>
        <w:ind w:left="1" w:right="137"/>
        <w:jc w:val="both"/>
        <w:rPr>
          <w:i/>
          <w:iCs/>
          <w:spacing w:val="-2"/>
        </w:rPr>
      </w:pPr>
    </w:p>
    <w:p w14:paraId="0D7B9FBE" w14:textId="000BEF7B" w:rsidR="00F418F0" w:rsidRPr="0097763B" w:rsidRDefault="00F418F0" w:rsidP="0097763B">
      <w:pPr>
        <w:pStyle w:val="Corpsdetexte"/>
        <w:spacing w:after="240" w:line="376" w:lineRule="auto"/>
        <w:ind w:left="1" w:right="137"/>
        <w:jc w:val="both"/>
        <w:rPr>
          <w:i/>
          <w:iCs/>
          <w:spacing w:val="-2"/>
        </w:rPr>
      </w:pPr>
      <w:r w:rsidRPr="0097763B">
        <w:rPr>
          <w:i/>
          <w:iCs/>
          <w:spacing w:val="-2"/>
        </w:rPr>
        <w:t xml:space="preserve">Die Finanz- und </w:t>
      </w:r>
      <w:proofErr w:type="spellStart"/>
      <w:r w:rsidRPr="0097763B">
        <w:rPr>
          <w:i/>
          <w:iCs/>
          <w:spacing w:val="-2"/>
        </w:rPr>
        <w:t>Regulierungszyklen</w:t>
      </w:r>
      <w:proofErr w:type="spellEnd"/>
    </w:p>
    <w:p w14:paraId="5AAC029B" w14:textId="77777777" w:rsidR="00F418F0" w:rsidRPr="0097763B" w:rsidRDefault="00F418F0" w:rsidP="0097763B">
      <w:pPr>
        <w:pStyle w:val="Corpsdetexte"/>
        <w:spacing w:line="376" w:lineRule="auto"/>
        <w:ind w:left="1" w:right="137"/>
        <w:jc w:val="both"/>
        <w:rPr>
          <w:spacing w:val="-2"/>
        </w:rPr>
      </w:pPr>
      <w:r w:rsidRPr="0097763B">
        <w:rPr>
          <w:spacing w:val="-2"/>
        </w:rPr>
        <w:t>Einen grossen Teil meines Berufslebens habe ich der Untersuchung finanzieller Instabilität und insbesondere ihres Zusammenhangs mit dem Finanzzyklus gewidmet.</w:t>
      </w:r>
    </w:p>
    <w:p w14:paraId="02219CD3" w14:textId="5E89ECE5" w:rsidR="0097763B" w:rsidRPr="0097763B" w:rsidRDefault="00F418F0" w:rsidP="0097763B">
      <w:pPr>
        <w:pStyle w:val="Corpsdetexte"/>
        <w:spacing w:after="240" w:line="376" w:lineRule="auto"/>
        <w:ind w:left="1" w:right="137"/>
        <w:jc w:val="both"/>
        <w:rPr>
          <w:spacing w:val="-2"/>
        </w:rPr>
      </w:pPr>
      <w:r w:rsidRPr="0097763B">
        <w:rPr>
          <w:spacing w:val="-2"/>
          <w:lang w:val="de-CH"/>
        </w:rPr>
        <w:t>Unter dem Finanzzyklus verstehe ich das Zusammenspiel von Kreditvergabe, Risikobereitschaft und Vermögenspreisen – insbesondere Immobilienpreisen –, das zunächst Expansionen beziehungsweise Booms und anschliessend Kontraktionen beziehungsweise Einbrüche hervorbringt.</w:t>
      </w:r>
      <w:r w:rsidR="0097763B" w:rsidRPr="0097763B">
        <w:rPr>
          <w:spacing w:val="-2"/>
          <w:lang w:val="de-CH"/>
        </w:rPr>
        <w:t xml:space="preserve"> </w:t>
      </w:r>
      <w:r w:rsidRPr="0097763B">
        <w:rPr>
          <w:spacing w:val="-2"/>
          <w:lang w:val="de-CH"/>
        </w:rPr>
        <w:t xml:space="preserve">Der Finanzzyklus ist wesentlich länger als der Konjunkturzyklus – zumindest gemessen an der üblichen Definition des Konjunkturzyklus. </w:t>
      </w:r>
      <w:r w:rsidRPr="0097763B">
        <w:rPr>
          <w:spacing w:val="-2"/>
        </w:rPr>
        <w:t xml:space="preserve">Seine Dauer </w:t>
      </w:r>
      <w:proofErr w:type="spellStart"/>
      <w:r w:rsidRPr="0097763B">
        <w:rPr>
          <w:spacing w:val="-2"/>
        </w:rPr>
        <w:t>wird</w:t>
      </w:r>
      <w:proofErr w:type="spellEnd"/>
      <w:r w:rsidRPr="0097763B">
        <w:rPr>
          <w:spacing w:val="-2"/>
        </w:rPr>
        <w:t xml:space="preserve"> </w:t>
      </w:r>
      <w:proofErr w:type="spellStart"/>
      <w:r w:rsidRPr="0097763B">
        <w:rPr>
          <w:spacing w:val="-2"/>
        </w:rPr>
        <w:t>im</w:t>
      </w:r>
      <w:proofErr w:type="spellEnd"/>
      <w:r w:rsidRPr="0097763B">
        <w:rPr>
          <w:spacing w:val="-2"/>
        </w:rPr>
        <w:t xml:space="preserve"> Durchschnitt auf 16 bis 20 Jahre geschätzt, verglichen mit acht bis zehn Jahren für den </w:t>
      </w:r>
      <w:proofErr w:type="spellStart"/>
      <w:r w:rsidRPr="0097763B">
        <w:rPr>
          <w:spacing w:val="-2"/>
        </w:rPr>
        <w:t>Konjunkturzyklus</w:t>
      </w:r>
      <w:proofErr w:type="spellEnd"/>
      <w:r w:rsidRPr="0097763B">
        <w:rPr>
          <w:spacing w:val="-2"/>
        </w:rPr>
        <w:t>.</w:t>
      </w:r>
    </w:p>
    <w:p w14:paraId="794A3384" w14:textId="75CAD7FA" w:rsidR="00F418F0" w:rsidRPr="0097763B" w:rsidRDefault="00F418F0" w:rsidP="0097763B">
      <w:pPr>
        <w:pStyle w:val="Corpsdetexte"/>
        <w:spacing w:after="240" w:line="376" w:lineRule="auto"/>
        <w:ind w:left="1" w:right="137"/>
        <w:jc w:val="both"/>
        <w:rPr>
          <w:spacing w:val="-2"/>
          <w:lang w:val="de-CH"/>
        </w:rPr>
      </w:pPr>
      <w:r w:rsidRPr="0097763B">
        <w:rPr>
          <w:spacing w:val="-2"/>
          <w:lang w:val="de-CH"/>
        </w:rPr>
        <w:t>Der Finanzzyklus bestimmt den zeitlichen Verlauf der bedeutendsten Episoden finanzieller Instabilität – jener Ereignisse also, die die grössten Auswirkungen auf die wirtschaftliche Aktivität haben.</w:t>
      </w:r>
      <w:r w:rsidR="0097763B">
        <w:rPr>
          <w:spacing w:val="-2"/>
          <w:lang w:val="de-CH"/>
        </w:rPr>
        <w:t xml:space="preserve"> </w:t>
      </w:r>
      <w:r w:rsidRPr="0097763B">
        <w:rPr>
          <w:spacing w:val="-2"/>
          <w:lang w:val="de-CH"/>
        </w:rPr>
        <w:t>Man denke beispielsweise an die Bankenkrisen in den nordischen Ländern und in Japan zu Beginn der 1990er-Jahre, an die globale Finanzkrise von 2008 oder, noch weiter zurückliegend, an die Weltwirtschaftskrise der 1930er-Jahre.</w:t>
      </w:r>
      <w:r w:rsidR="0097763B">
        <w:rPr>
          <w:spacing w:val="-2"/>
          <w:lang w:val="de-CH"/>
        </w:rPr>
        <w:t xml:space="preserve"> </w:t>
      </w:r>
      <w:r w:rsidRPr="0097763B">
        <w:rPr>
          <w:spacing w:val="-2"/>
          <w:lang w:val="de-CH"/>
        </w:rPr>
        <w:t>Diese Krisen treten typischerweise einige Jahre nach dem Höhepunkt des Finanzzyklus auf, wenn die Vermögenspreise einbrechen und das Kreditwachstum deutlich nachlässt oder sogar schrumpft.</w:t>
      </w:r>
    </w:p>
    <w:p w14:paraId="14ED019D" w14:textId="731EAFB0" w:rsidR="00F418F0" w:rsidRPr="0097763B" w:rsidRDefault="00F418F0" w:rsidP="0097763B">
      <w:pPr>
        <w:pStyle w:val="Corpsdetexte"/>
        <w:spacing w:after="240" w:line="376" w:lineRule="auto"/>
        <w:ind w:left="1" w:right="137"/>
        <w:jc w:val="both"/>
        <w:rPr>
          <w:spacing w:val="-2"/>
          <w:lang w:val="de-CH"/>
        </w:rPr>
      </w:pPr>
      <w:r w:rsidRPr="0097763B">
        <w:rPr>
          <w:spacing w:val="-2"/>
          <w:lang w:val="de-CH"/>
        </w:rPr>
        <w:t>Natürlich ist es eine Sache, diesen Zusammenhang im Rückblick zu untersuchen; eine ganz andere ist es, ihn in Echtzeit zu erkennen.</w:t>
      </w:r>
      <w:r w:rsidR="0097763B" w:rsidRPr="0097763B">
        <w:rPr>
          <w:spacing w:val="-2"/>
          <w:lang w:val="de-CH"/>
        </w:rPr>
        <w:t xml:space="preserve"> </w:t>
      </w:r>
      <w:r w:rsidRPr="0097763B">
        <w:rPr>
          <w:spacing w:val="-2"/>
          <w:lang w:val="de-CH"/>
        </w:rPr>
        <w:t xml:space="preserve">Heute steht uns eine ganze Reihe von Indikatoren zur Verfügung, mit denen sich solche Entwicklungen erkennen lassen – sowohl aggregierte als auch disaggregierte Indikatoren. </w:t>
      </w:r>
      <w:proofErr w:type="spellStart"/>
      <w:r w:rsidRPr="0097763B">
        <w:rPr>
          <w:spacing w:val="-2"/>
        </w:rPr>
        <w:t>Diese</w:t>
      </w:r>
      <w:proofErr w:type="spellEnd"/>
      <w:r w:rsidRPr="0097763B">
        <w:rPr>
          <w:spacing w:val="-2"/>
        </w:rPr>
        <w:t xml:space="preserve"> </w:t>
      </w:r>
      <w:proofErr w:type="spellStart"/>
      <w:r w:rsidRPr="0097763B">
        <w:rPr>
          <w:spacing w:val="-2"/>
        </w:rPr>
        <w:t>bleiben</w:t>
      </w:r>
      <w:proofErr w:type="spellEnd"/>
      <w:r w:rsidRPr="0097763B">
        <w:rPr>
          <w:spacing w:val="-2"/>
        </w:rPr>
        <w:t xml:space="preserve"> </w:t>
      </w:r>
      <w:proofErr w:type="spellStart"/>
      <w:r w:rsidRPr="0097763B">
        <w:rPr>
          <w:spacing w:val="-2"/>
        </w:rPr>
        <w:t>jedoch</w:t>
      </w:r>
      <w:proofErr w:type="spellEnd"/>
      <w:r w:rsidRPr="0097763B">
        <w:rPr>
          <w:spacing w:val="-2"/>
        </w:rPr>
        <w:t xml:space="preserve"> </w:t>
      </w:r>
      <w:proofErr w:type="spellStart"/>
      <w:r w:rsidRPr="0097763B">
        <w:rPr>
          <w:spacing w:val="-2"/>
        </w:rPr>
        <w:t>zwangsläufig</w:t>
      </w:r>
      <w:proofErr w:type="spellEnd"/>
      <w:r w:rsidRPr="0097763B">
        <w:rPr>
          <w:spacing w:val="-2"/>
        </w:rPr>
        <w:t xml:space="preserve"> unvollkommen. </w:t>
      </w:r>
      <w:r w:rsidRPr="0097763B">
        <w:rPr>
          <w:spacing w:val="-2"/>
          <w:lang w:val="de-CH"/>
        </w:rPr>
        <w:t>Auch der Zusammenhang zwischen dem Finanzzyklus und Krisen sowie deren jeweilige Intensität ist nicht konstant.</w:t>
      </w:r>
      <w:r w:rsidR="0097763B" w:rsidRPr="0097763B">
        <w:rPr>
          <w:spacing w:val="-2"/>
          <w:lang w:val="de-CH"/>
        </w:rPr>
        <w:t xml:space="preserve"> </w:t>
      </w:r>
      <w:r w:rsidRPr="0097763B">
        <w:rPr>
          <w:spacing w:val="-2"/>
          <w:lang w:val="de-CH"/>
        </w:rPr>
        <w:t>Dies schmälert keineswegs den erkenntnistheoretischen Wert des Konzepts als Instrument für ein besseres Verständnis wirtschaftlicher Prozesse; es begrenzt jedoch seinen Nutzen für Prognosezwecke.</w:t>
      </w:r>
    </w:p>
    <w:p w14:paraId="190AE0AF" w14:textId="75D490B0" w:rsidR="00F418F0" w:rsidRPr="0097763B" w:rsidRDefault="00F418F0" w:rsidP="0097763B">
      <w:pPr>
        <w:pStyle w:val="Corpsdetexte"/>
        <w:spacing w:after="240" w:line="376" w:lineRule="auto"/>
        <w:ind w:left="1" w:right="137"/>
        <w:jc w:val="both"/>
        <w:rPr>
          <w:spacing w:val="-2"/>
        </w:rPr>
      </w:pPr>
      <w:r w:rsidRPr="0097763B">
        <w:rPr>
          <w:spacing w:val="-2"/>
          <w:lang w:val="de-CH"/>
        </w:rPr>
        <w:t>Unter diesem Vorbehalt betrachtet, ist das wirtschaftliche und finanzielle Bild aus dieser Perspektive alles andere als beruhigend.</w:t>
      </w:r>
      <w:r w:rsidR="0097763B" w:rsidRPr="0097763B">
        <w:rPr>
          <w:spacing w:val="-2"/>
          <w:lang w:val="de-CH"/>
        </w:rPr>
        <w:t xml:space="preserve"> </w:t>
      </w:r>
      <w:r w:rsidRPr="0097763B">
        <w:rPr>
          <w:spacing w:val="-2"/>
          <w:lang w:val="de-CH"/>
        </w:rPr>
        <w:t xml:space="preserve">Nach einer langen Phase hoher Risikobereitschaft verliert der Finanzzyklus in vielen Ländern an Dynamik oder scheint in eine Abwärtsphase </w:t>
      </w:r>
      <w:r w:rsidRPr="0097763B">
        <w:rPr>
          <w:spacing w:val="-2"/>
          <w:lang w:val="de-CH"/>
        </w:rPr>
        <w:lastRenderedPageBreak/>
        <w:t>eingetreten zu sein – insbesondere in den fortgeschrittenen Volkswirtschaften und vor allem in den Vereinigten Staaten, dem Zentrum des globalen Finanzwesens.</w:t>
      </w:r>
      <w:r w:rsidR="0097763B">
        <w:rPr>
          <w:spacing w:val="-2"/>
          <w:lang w:val="de-CH"/>
        </w:rPr>
        <w:t xml:space="preserve"> </w:t>
      </w:r>
      <w:r w:rsidRPr="0097763B">
        <w:rPr>
          <w:spacing w:val="-2"/>
          <w:lang w:val="de-CH"/>
        </w:rPr>
        <w:t xml:space="preserve">Nach einer aussergewöhnlich langen Phase </w:t>
      </w:r>
      <w:proofErr w:type="gramStart"/>
      <w:r w:rsidRPr="0097763B">
        <w:rPr>
          <w:spacing w:val="-2"/>
          <w:lang w:val="de-CH"/>
        </w:rPr>
        <w:t>extrem niedriger</w:t>
      </w:r>
      <w:proofErr w:type="gramEnd"/>
      <w:r w:rsidRPr="0097763B">
        <w:rPr>
          <w:spacing w:val="-2"/>
          <w:lang w:val="de-CH"/>
        </w:rPr>
        <w:t xml:space="preserve"> Zinssätze sind bereits erhebliche finanzielle Spannungen aufgetreten. Man denke nur an die Zusammenbrüche mehrerer regionaler Banken in den USA im März 2023, die sich nur dank des rechtzeitigen und massiven Eingreifens der Behörden nicht zu einer grösseren Krise entwickelten, oder an den Zusammenbruch der </w:t>
      </w:r>
      <w:proofErr w:type="spellStart"/>
      <w:r w:rsidRPr="0097763B">
        <w:rPr>
          <w:spacing w:val="-2"/>
          <w:lang w:val="de-CH"/>
        </w:rPr>
        <w:t>Credit</w:t>
      </w:r>
      <w:proofErr w:type="spellEnd"/>
      <w:r w:rsidRPr="0097763B">
        <w:rPr>
          <w:spacing w:val="-2"/>
          <w:lang w:val="de-CH"/>
        </w:rPr>
        <w:t xml:space="preserve"> Suisse, einer als global systemrelevant eingestuften Bank.</w:t>
      </w:r>
      <w:r w:rsidR="0097763B" w:rsidRPr="0097763B">
        <w:rPr>
          <w:spacing w:val="-2"/>
          <w:lang w:val="de-CH"/>
        </w:rPr>
        <w:t xml:space="preserve"> </w:t>
      </w:r>
      <w:r w:rsidRPr="0097763B">
        <w:rPr>
          <w:spacing w:val="-2"/>
          <w:lang w:val="de-CH"/>
        </w:rPr>
        <w:t xml:space="preserve">Während diese Spannungen im Wesentlichen auf Zinsänderungsrisiken – also Bewertungsverluste infolge steigender Zinsen – zurückzuführen waren, beginnt sich das weitaus gefährlichere Kreditrisiko erst seit Kurzem in erheblichem Umfang zu manifestieren. </w:t>
      </w:r>
      <w:r w:rsidRPr="0097763B">
        <w:rPr>
          <w:spacing w:val="-2"/>
        </w:rPr>
        <w:t xml:space="preserve">Dies hat </w:t>
      </w:r>
      <w:proofErr w:type="spellStart"/>
      <w:r w:rsidRPr="0097763B">
        <w:rPr>
          <w:spacing w:val="-2"/>
        </w:rPr>
        <w:t>zum</w:t>
      </w:r>
      <w:proofErr w:type="spellEnd"/>
      <w:r w:rsidRPr="0097763B">
        <w:rPr>
          <w:spacing w:val="-2"/>
        </w:rPr>
        <w:t xml:space="preserve"> </w:t>
      </w:r>
      <w:proofErr w:type="spellStart"/>
      <w:r w:rsidRPr="0097763B">
        <w:rPr>
          <w:spacing w:val="-2"/>
        </w:rPr>
        <w:t>Zusammenbruch</w:t>
      </w:r>
      <w:proofErr w:type="spellEnd"/>
      <w:r w:rsidRPr="0097763B">
        <w:rPr>
          <w:spacing w:val="-2"/>
        </w:rPr>
        <w:t xml:space="preserve"> von First Brands sowie zu Problemen bei einigen Regionalbanken in den Vereinigten Staaten geführt.</w:t>
      </w:r>
    </w:p>
    <w:p w14:paraId="1F706702" w14:textId="1AF3CE77"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Die positive Nachricht ist, dass das Bankensystem heute Verluste besser verkraften kann, was zu einem grossen Teil auf die nach der globalen Finanzkrise verstärkte Regulierung und Aufsicht zurückzuführen ist.</w:t>
      </w:r>
      <w:r w:rsidR="00186C64" w:rsidRPr="00186C64">
        <w:rPr>
          <w:spacing w:val="-2"/>
          <w:lang w:val="de-CH"/>
        </w:rPr>
        <w:t xml:space="preserve"> </w:t>
      </w:r>
      <w:r w:rsidRPr="00186C64">
        <w:rPr>
          <w:spacing w:val="-2"/>
          <w:lang w:val="de-CH"/>
        </w:rPr>
        <w:t xml:space="preserve">Die grössten Risiken liegen heute bei den Nichtbanken-Finanzintermediären (non-bank </w:t>
      </w:r>
      <w:proofErr w:type="spellStart"/>
      <w:r w:rsidRPr="00186C64">
        <w:rPr>
          <w:spacing w:val="-2"/>
          <w:lang w:val="de-CH"/>
        </w:rPr>
        <w:t>financial</w:t>
      </w:r>
      <w:proofErr w:type="spellEnd"/>
      <w:r w:rsidRPr="00186C64">
        <w:rPr>
          <w:spacing w:val="-2"/>
          <w:lang w:val="de-CH"/>
        </w:rPr>
        <w:t xml:space="preserve"> intermediaries, NBFIs), die nach der Krise – teilweise gerade aufgrund der verstärkten Regulierung des Bankensektors – exponentiell gewachsen sind.</w:t>
      </w:r>
      <w:r w:rsidR="00186C64">
        <w:rPr>
          <w:spacing w:val="-2"/>
          <w:lang w:val="de-CH"/>
        </w:rPr>
        <w:t xml:space="preserve"> </w:t>
      </w:r>
      <w:r w:rsidRPr="00186C64">
        <w:rPr>
          <w:spacing w:val="-2"/>
          <w:lang w:val="de-CH"/>
        </w:rPr>
        <w:t xml:space="preserve">Man denke etwa an die häufig sehr intransparenten Risiken, die sich aus der Verbindung zwischen Private </w:t>
      </w:r>
      <w:proofErr w:type="spellStart"/>
      <w:r w:rsidRPr="00186C64">
        <w:rPr>
          <w:spacing w:val="-2"/>
          <w:lang w:val="de-CH"/>
        </w:rPr>
        <w:t>Credit</w:t>
      </w:r>
      <w:proofErr w:type="spellEnd"/>
      <w:r w:rsidRPr="00186C64">
        <w:rPr>
          <w:spacing w:val="-2"/>
          <w:lang w:val="de-CH"/>
        </w:rPr>
        <w:t xml:space="preserve"> und Private Equity und generell aus dem Vermögensverwaltungsgeschäft ergeben. Oder an die Verlagerung von Risiken vom Bankensektor auf die privaten Märkte durch strukturierte Finanzinstrumente, die an jene erinnern, die vor der globalen Finanzkrise entstanden sind.</w:t>
      </w:r>
      <w:r w:rsidR="00186C64" w:rsidRPr="00186C64">
        <w:rPr>
          <w:spacing w:val="-2"/>
          <w:lang w:val="de-CH"/>
        </w:rPr>
        <w:t xml:space="preserve"> </w:t>
      </w:r>
      <w:r w:rsidRPr="00186C64">
        <w:rPr>
          <w:spacing w:val="-2"/>
          <w:lang w:val="de-CH"/>
        </w:rPr>
        <w:t>Ebenso relevant ist die Verbindung zwischen dem Versicherungs- und Rückversicherungssektor einerseits und den privaten Märkten andererseits, die auf gesamtwirtschaftlicher Ebene bedeutet, dass weniger Kapital eine grössere Menge illiquider und risikoreicher Vermögenswerte absichert.</w:t>
      </w:r>
      <w:r w:rsidR="00186C64">
        <w:rPr>
          <w:spacing w:val="-2"/>
          <w:lang w:val="de-CH"/>
        </w:rPr>
        <w:t xml:space="preserve"> </w:t>
      </w:r>
      <w:r w:rsidRPr="00186C64">
        <w:rPr>
          <w:spacing w:val="-2"/>
          <w:lang w:val="de-CH"/>
        </w:rPr>
        <w:t>Generell ist die Verbindung zwischen dem Bankensektor und den Nichtbanken-Finanzintermediären eng, aber wenig transparent. Auch wenn die Gesamtsituation sicherlich weniger besorgniserregend ist als vor der Krise von 2008, müssen wir daher mit weiteren Episoden finanzieller Instabilität rechnen.</w:t>
      </w:r>
      <w:r w:rsidR="00186C64" w:rsidRPr="00186C64">
        <w:rPr>
          <w:spacing w:val="-2"/>
          <w:lang w:val="de-CH"/>
        </w:rPr>
        <w:t xml:space="preserve"> </w:t>
      </w:r>
      <w:r w:rsidRPr="00186C64">
        <w:rPr>
          <w:spacing w:val="-2"/>
          <w:lang w:val="de-CH"/>
        </w:rPr>
        <w:t>Hier kommt der Regulierungszyklus ins Spiel.</w:t>
      </w:r>
      <w:r w:rsidR="00186C64">
        <w:rPr>
          <w:spacing w:val="-2"/>
          <w:lang w:val="de-CH"/>
        </w:rPr>
        <w:t xml:space="preserve"> </w:t>
      </w:r>
      <w:r w:rsidRPr="00186C64">
        <w:rPr>
          <w:spacing w:val="-2"/>
          <w:lang w:val="de-CH"/>
        </w:rPr>
        <w:t>Die Regulierung konnte mit der Entwicklung des Finanzsystems nicht Schritt halten. Die Behörden haben einen Teil der Risiken bewusst ausserhalb des Bankensektors angesiedelt – eine unvermeidliche Folge der strengeren Regulierung innerhalb dieses Sektors.</w:t>
      </w:r>
      <w:r w:rsidR="00186C64">
        <w:rPr>
          <w:spacing w:val="-2"/>
          <w:lang w:val="de-CH"/>
        </w:rPr>
        <w:t xml:space="preserve"> </w:t>
      </w:r>
      <w:r w:rsidRPr="00186C64">
        <w:rPr>
          <w:spacing w:val="-2"/>
          <w:lang w:val="de-CH"/>
        </w:rPr>
        <w:t>Diese Verlagerung ging jedoch nicht mit einer angemessenen Verstärkung der Kontrolle über die Nichtbanken-Finanzintermediäre einher.</w:t>
      </w:r>
      <w:r w:rsidR="00186C64">
        <w:rPr>
          <w:spacing w:val="-2"/>
          <w:lang w:val="de-CH"/>
        </w:rPr>
        <w:t xml:space="preserve"> </w:t>
      </w:r>
      <w:r w:rsidRPr="00186C64">
        <w:rPr>
          <w:spacing w:val="-2"/>
          <w:lang w:val="de-CH"/>
        </w:rPr>
        <w:t>Heute wächst weltweit der Druck, die regulatorischen und aufsichtsrechtlichen Anforderungen an Banken ebenfalls zu lockern – getragen von der illusorischen Vorstellung, dies werde zu einem stärkeren Wirtschaftswachstum führen.</w:t>
      </w:r>
      <w:r w:rsidR="00186C64">
        <w:rPr>
          <w:spacing w:val="-2"/>
          <w:lang w:val="de-CH"/>
        </w:rPr>
        <w:t xml:space="preserve"> </w:t>
      </w:r>
      <w:r w:rsidRPr="00186C64">
        <w:rPr>
          <w:spacing w:val="-2"/>
          <w:lang w:val="de-CH"/>
        </w:rPr>
        <w:t xml:space="preserve">Die globale Finanzkrise von 2008 ist nur noch eine verblassende Erinnerung, während der politische </w:t>
      </w:r>
      <w:r w:rsidRPr="00186C64">
        <w:rPr>
          <w:spacing w:val="-2"/>
          <w:lang w:val="de-CH"/>
        </w:rPr>
        <w:lastRenderedPageBreak/>
        <w:t>Druck und der Einfluss der Finanzbranche zunehmen. Der Ruf nach Deregulierung wird lauter, mitunter unter dem Vorwand einer notwendigen „Vereinfachung“.</w:t>
      </w:r>
      <w:r w:rsidR="00186C64">
        <w:rPr>
          <w:spacing w:val="-2"/>
          <w:lang w:val="de-CH"/>
        </w:rPr>
        <w:t xml:space="preserve"> </w:t>
      </w:r>
      <w:r w:rsidRPr="00186C64">
        <w:rPr>
          <w:spacing w:val="-2"/>
          <w:lang w:val="de-CH"/>
        </w:rPr>
        <w:t>Doch Vereinfachung bedeutet nicht Verwässerung.</w:t>
      </w:r>
      <w:r w:rsidR="00186C64">
        <w:rPr>
          <w:spacing w:val="-2"/>
          <w:lang w:val="de-CH"/>
        </w:rPr>
        <w:t xml:space="preserve"> </w:t>
      </w:r>
      <w:r w:rsidRPr="00186C64">
        <w:rPr>
          <w:spacing w:val="-2"/>
          <w:lang w:val="de-CH"/>
        </w:rPr>
        <w:t>Langfristig besteht kein Widerspruch zwischen Wirtschaftswachstum und Regulierung – ganz im Gegenteil. Wie uns die Geschichte lehrt, muss die Finanzaufsicht gerade in solchen Zeiten gestärkt und nicht geschwächt werden.</w:t>
      </w:r>
    </w:p>
    <w:p w14:paraId="362C6F2D" w14:textId="77777777" w:rsidR="00F418F0" w:rsidRPr="00186C64" w:rsidRDefault="00F418F0" w:rsidP="00F418F0">
      <w:pPr>
        <w:widowControl/>
        <w:autoSpaceDE/>
        <w:autoSpaceDN/>
        <w:spacing w:before="100" w:beforeAutospacing="1" w:after="100" w:afterAutospacing="1"/>
        <w:outlineLvl w:val="0"/>
        <w:rPr>
          <w:i/>
          <w:iCs/>
          <w:spacing w:val="-2"/>
          <w:lang w:val="de-CH"/>
        </w:rPr>
      </w:pPr>
      <w:r w:rsidRPr="00186C64">
        <w:rPr>
          <w:i/>
          <w:iCs/>
          <w:spacing w:val="-2"/>
          <w:lang w:val="de-CH"/>
        </w:rPr>
        <w:t>Die (Un-)Nachhaltigkeit der öffentlichen Finanzen</w:t>
      </w:r>
    </w:p>
    <w:p w14:paraId="61B1D4B5" w14:textId="77777777" w:rsidR="00F418F0" w:rsidRPr="00186C64" w:rsidRDefault="00F418F0" w:rsidP="00F418F0">
      <w:pPr>
        <w:widowControl/>
        <w:autoSpaceDE/>
        <w:autoSpaceDN/>
        <w:spacing w:before="100" w:beforeAutospacing="1" w:after="100" w:afterAutospacing="1"/>
        <w:rPr>
          <w:spacing w:val="-2"/>
          <w:lang w:val="de-CH"/>
        </w:rPr>
      </w:pPr>
      <w:r w:rsidRPr="00186C64">
        <w:rPr>
          <w:spacing w:val="-2"/>
          <w:lang w:val="de-CH"/>
        </w:rPr>
        <w:t>Wenden wir uns nun den öffentlichen Finanzen zu.</w:t>
      </w:r>
    </w:p>
    <w:p w14:paraId="13748E5E" w14:textId="488C809C"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Obwohl ich einen grossen Teil meines Berufslebens den – wenn man so will – „Exzessen“ des privaten Sektors gewidmet habe, insbesondere dem Finanzzyklus, bereiten mir inzwischen die vom öffentlichen Sektor ausgehenden Risiken zunehmend Sorgen.</w:t>
      </w:r>
      <w:r w:rsidR="00186C64">
        <w:rPr>
          <w:spacing w:val="-2"/>
          <w:lang w:val="de-CH"/>
        </w:rPr>
        <w:t xml:space="preserve"> </w:t>
      </w:r>
      <w:r w:rsidRPr="00186C64">
        <w:rPr>
          <w:spacing w:val="-2"/>
          <w:lang w:val="de-CH"/>
        </w:rPr>
        <w:t>Die mangelnde Nachhaltigkeit der öffentlichen Finanzen kann die Wirtschaft durch Inflation oder finanzielle Instabilität – und häufiger noch durch eine Kombination aus beidem – erheblich beeinträchtigen.</w:t>
      </w:r>
    </w:p>
    <w:p w14:paraId="798656C8" w14:textId="77777777"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Die zugrunde liegenden Mechanismen sind bekannt.</w:t>
      </w:r>
    </w:p>
    <w:p w14:paraId="18D9F267" w14:textId="0B7EE531"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Was die Inflation betrifft, lehrt uns die Geschichte, dass eine hohe Staatsverschuldung den Handlungsspielraum der Geldpolitik erheblich einschränken kann. Dies geschieht dann, wenn die Glaubwürdigkeit der Fiskalpolitik oder die Zahlungsfähigkeit des Staates ernsthaft infrage gestellt wird.</w:t>
      </w:r>
      <w:r w:rsidR="00186C64">
        <w:rPr>
          <w:spacing w:val="-2"/>
          <w:lang w:val="de-CH"/>
        </w:rPr>
        <w:t xml:space="preserve"> </w:t>
      </w:r>
      <w:r w:rsidRPr="00186C64">
        <w:rPr>
          <w:spacing w:val="-2"/>
          <w:lang w:val="de-CH"/>
        </w:rPr>
        <w:t>In einer solchen Situation würde eine Straffung der Geldpolitik die Bedenken noch verstärken und die Inflation weiter anheizen – typischerweise über eine unkontrollierte Abwertung des Wechselkurses, eine Ausprägung der sogenannten fiskalischen Dominanz.</w:t>
      </w:r>
    </w:p>
    <w:p w14:paraId="0E851A80" w14:textId="6BDBE469"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Was die finanzielle Instabilität betrifft, sind die entsprechenden Mechanismen sowohl direkter als auch indirekter Natur.</w:t>
      </w:r>
      <w:r w:rsidR="00186C64">
        <w:rPr>
          <w:spacing w:val="-2"/>
          <w:lang w:val="de-CH"/>
        </w:rPr>
        <w:t xml:space="preserve"> </w:t>
      </w:r>
      <w:r w:rsidRPr="00186C64">
        <w:rPr>
          <w:spacing w:val="-2"/>
          <w:lang w:val="de-CH"/>
        </w:rPr>
        <w:t>Die direkten Mechanismen ergeben sich aus der Belastung des privaten Sektors durch Verluste auf staatliche Schuldverschreibungen. Viele von Ihnen werden sich an den Teufelskreis – oder die sogenannte „diabolische Verflechtung“ (diabolic loop) – erinnern, der während der Staatsschuldenkrise im Euroraum 2011 durch die hohe Exponierung der Banken gegenüber Staatsanleihen ausgelöst wurde.</w:t>
      </w:r>
      <w:r w:rsidR="00186C64">
        <w:rPr>
          <w:spacing w:val="-2"/>
          <w:lang w:val="de-CH"/>
        </w:rPr>
        <w:t xml:space="preserve"> </w:t>
      </w:r>
      <w:r w:rsidRPr="00186C64">
        <w:rPr>
          <w:spacing w:val="-2"/>
          <w:lang w:val="de-CH"/>
        </w:rPr>
        <w:t xml:space="preserve">Die indirekten Mechanismen ergeben sich daraus, dass bei Ausbruch finanzieller </w:t>
      </w:r>
      <w:proofErr w:type="gramStart"/>
      <w:r w:rsidRPr="00186C64">
        <w:rPr>
          <w:spacing w:val="-2"/>
          <w:lang w:val="de-CH"/>
        </w:rPr>
        <w:t>Instabilität letztlich</w:t>
      </w:r>
      <w:proofErr w:type="gramEnd"/>
      <w:r w:rsidRPr="00186C64">
        <w:rPr>
          <w:spacing w:val="-2"/>
          <w:lang w:val="de-CH"/>
        </w:rPr>
        <w:t xml:space="preserve"> die Solidität der öffentlichen Finanzen die Zahlungsfähigkeit des Finanzsystems garantiert.</w:t>
      </w:r>
      <w:r w:rsidR="00186C64">
        <w:rPr>
          <w:spacing w:val="-2"/>
          <w:lang w:val="de-CH"/>
        </w:rPr>
        <w:t xml:space="preserve"> </w:t>
      </w:r>
      <w:r w:rsidRPr="00186C64">
        <w:rPr>
          <w:spacing w:val="-2"/>
          <w:lang w:val="de-CH"/>
        </w:rPr>
        <w:t>Die Zentralbank kann als Kreditgeber letzter Instanz eingreifen; sie kann jedoch keine Insolvenz beseitigen. Das kann, wie wir in früheren Krisen immer wieder gesehen haben, letztlich nur der Staat.</w:t>
      </w:r>
      <w:r w:rsidR="00186C64">
        <w:rPr>
          <w:spacing w:val="-2"/>
          <w:lang w:val="de-CH"/>
        </w:rPr>
        <w:t xml:space="preserve"> </w:t>
      </w:r>
      <w:r w:rsidRPr="00186C64">
        <w:rPr>
          <w:spacing w:val="-2"/>
          <w:lang w:val="de-CH"/>
        </w:rPr>
        <w:t>Wenn das Vertrauen der Märkte in die Zahlungsfähigkeit des Staates verloren geht, verliert auch das Finanzsystem sein Sicherheitsnetz.</w:t>
      </w:r>
    </w:p>
    <w:p w14:paraId="69E01E0D" w14:textId="02D404F1"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lastRenderedPageBreak/>
        <w:t>All dies unterstreicht auch die enge, allzu oft vergessene Verbindung zwischen Geld- und Fiskalpolitik.</w:t>
      </w:r>
      <w:r w:rsidR="00186C64">
        <w:rPr>
          <w:spacing w:val="-2"/>
          <w:lang w:val="de-CH"/>
        </w:rPr>
        <w:t xml:space="preserve"> </w:t>
      </w:r>
      <w:r w:rsidRPr="00186C64">
        <w:rPr>
          <w:spacing w:val="-2"/>
          <w:lang w:val="de-CH"/>
        </w:rPr>
        <w:t>Nicht nur deshalb, weil beide über „miteinander verflochtene“ Bilanzen wirken – nämlich jene der Zentralbank und des Staates. Nicht nur deshalb, weil sich ihre Transmissionsmechanismen überschneiden, insbesondere über die Finanzierungsbedingungen.</w:t>
      </w:r>
      <w:r w:rsidR="00186C64">
        <w:rPr>
          <w:spacing w:val="-2"/>
          <w:lang w:val="de-CH"/>
        </w:rPr>
        <w:t xml:space="preserve"> </w:t>
      </w:r>
      <w:r w:rsidRPr="00186C64">
        <w:rPr>
          <w:spacing w:val="-2"/>
          <w:lang w:val="de-CH"/>
        </w:rPr>
        <w:t>Und auch nicht allein deshalb, weil beide Politiken erhebliche Auswirkungen auf die Wirtschaft haben.</w:t>
      </w:r>
      <w:r w:rsidR="00186C64">
        <w:rPr>
          <w:spacing w:val="-2"/>
          <w:lang w:val="de-CH"/>
        </w:rPr>
        <w:t xml:space="preserve"> </w:t>
      </w:r>
      <w:r w:rsidRPr="00186C64">
        <w:rPr>
          <w:spacing w:val="-2"/>
          <w:lang w:val="de-CH"/>
        </w:rPr>
        <w:t>Vor allem aber deshalb, weil beide dem Staat grundsätzlich einen privilegierten Zugang zu Ressourcen sichern – die Geldpolitik durch die Ausgabe von Geld und die Fiskalpolitik durch die Besteuerungsmacht.</w:t>
      </w:r>
      <w:r w:rsidR="00186C64">
        <w:rPr>
          <w:spacing w:val="-2"/>
          <w:lang w:val="de-CH"/>
        </w:rPr>
        <w:t xml:space="preserve"> </w:t>
      </w:r>
      <w:r w:rsidRPr="00186C64">
        <w:rPr>
          <w:spacing w:val="-2"/>
          <w:lang w:val="de-CH"/>
        </w:rPr>
        <w:t>Und weil sie sich gegenseitig stützen: Die Geldpolitik kann einen technischen Zahlungsausfall des Staates verhindern, während die Besteuerungsmacht letztlich den Wert des Geldes absichert.</w:t>
      </w:r>
    </w:p>
    <w:p w14:paraId="3D38E7D4" w14:textId="3A484338"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Wenn wir den weltweiten Stand der öffentlichen Verschuldung betrachten, sind die Anzeichen alarmierend.</w:t>
      </w:r>
      <w:r w:rsidR="00186C64">
        <w:rPr>
          <w:spacing w:val="-2"/>
          <w:lang w:val="de-CH"/>
        </w:rPr>
        <w:t xml:space="preserve"> </w:t>
      </w:r>
      <w:r w:rsidRPr="00186C64">
        <w:rPr>
          <w:spacing w:val="-2"/>
          <w:lang w:val="de-CH"/>
        </w:rPr>
        <w:t>Nach einem stetigen Anstieg seit den 1980er-Jahren hat die durchschnittliche Schuldenquote im Verhältnis zum Bruttoinlandprodukt historische Höchststände erreicht, die jenen während des Zweiten Weltkriegs vergleichbar oder sogar höher sind.</w:t>
      </w:r>
      <w:r w:rsidR="00186C64">
        <w:rPr>
          <w:spacing w:val="-2"/>
          <w:lang w:val="de-CH"/>
        </w:rPr>
        <w:t xml:space="preserve"> </w:t>
      </w:r>
      <w:r w:rsidRPr="00186C64">
        <w:rPr>
          <w:spacing w:val="-2"/>
          <w:lang w:val="de-CH"/>
        </w:rPr>
        <w:t>Und die Aussichten sind alles andere als beruhigend.</w:t>
      </w:r>
      <w:r w:rsidR="00186C64">
        <w:rPr>
          <w:spacing w:val="-2"/>
          <w:lang w:val="de-CH"/>
        </w:rPr>
        <w:t xml:space="preserve"> </w:t>
      </w:r>
      <w:r w:rsidRPr="00186C64">
        <w:rPr>
          <w:spacing w:val="-2"/>
          <w:lang w:val="de-CH"/>
        </w:rPr>
        <w:t>Modellhafte Projektionen meiner ehemaligen Kolleginnen und Kollegen bei der BIZ zeigen, dass die Schuldenquoten ohne Konsolidierung langfristig weiter steigen dürften – selbst dann, wenn die Zinssätze unterhalb der Wachstumsraten bleiben.</w:t>
      </w:r>
      <w:r w:rsidR="00186C64">
        <w:rPr>
          <w:spacing w:val="-2"/>
          <w:lang w:val="de-CH"/>
        </w:rPr>
        <w:t xml:space="preserve"> </w:t>
      </w:r>
      <w:r w:rsidRPr="00186C64">
        <w:rPr>
          <w:spacing w:val="-2"/>
          <w:lang w:val="de-CH"/>
        </w:rPr>
        <w:t>Dieser Anstieg fällt noch stärker aus, wenn die Auswirkungen der demografischen Alterung, der grünen Transformation und höherer Verteidigungsausgaben infolge geopolitischer Spannungen berücksichtigt werden.</w:t>
      </w:r>
    </w:p>
    <w:p w14:paraId="6D44AE5A" w14:textId="4FBD3364"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Sollten die Zinssätze darüber hinaus erneut über die Wachstumsraten steigen, würde sich diese selbstverstärkende Dynamik erheblich verschärfen.</w:t>
      </w:r>
      <w:r w:rsidR="00186C64">
        <w:rPr>
          <w:spacing w:val="-2"/>
          <w:lang w:val="de-CH"/>
        </w:rPr>
        <w:t xml:space="preserve"> </w:t>
      </w:r>
      <w:r w:rsidRPr="00186C64">
        <w:rPr>
          <w:spacing w:val="-2"/>
          <w:lang w:val="de-CH"/>
        </w:rPr>
        <w:t>Um eine Vorstellung von den möglichen Auswirkungen zu vermitteln, genügt der Hinweis, dass die Kosten des Schuldendienstes aufgrund der niedrigen Zinssätze derzeit nicht weit von historischen Tiefstständen entfernt sind.</w:t>
      </w:r>
      <w:r w:rsidR="00186C64">
        <w:rPr>
          <w:spacing w:val="-2"/>
          <w:lang w:val="de-CH"/>
        </w:rPr>
        <w:t xml:space="preserve"> </w:t>
      </w:r>
      <w:r w:rsidRPr="00186C64">
        <w:rPr>
          <w:spacing w:val="-2"/>
          <w:lang w:val="de-CH"/>
        </w:rPr>
        <w:t>Sollten die Zinssätze jedoch – unter sonst gleichen Bedingungen – wieder das Niveau der Mitte der 1990er-Jahre erreichen, das aus langfristiger Perspektive durchaus normal war, würden die Kosten des Schuldendienstes ihren historischen Höchststand überschreiten.</w:t>
      </w:r>
    </w:p>
    <w:p w14:paraId="5668A01F" w14:textId="4FA6F339" w:rsidR="00F418F0" w:rsidRPr="00186C64" w:rsidRDefault="00F418F0" w:rsidP="00186C64">
      <w:pPr>
        <w:pStyle w:val="Corpsdetexte"/>
        <w:spacing w:after="240" w:line="376" w:lineRule="auto"/>
        <w:ind w:left="1" w:right="137"/>
        <w:jc w:val="both"/>
        <w:rPr>
          <w:spacing w:val="-2"/>
          <w:lang w:val="de-CH"/>
        </w:rPr>
      </w:pPr>
      <w:r w:rsidRPr="00186C64">
        <w:rPr>
          <w:spacing w:val="-2"/>
          <w:lang w:val="de-CH"/>
        </w:rPr>
        <w:t>Natürlich setzen manche auf die Auswirkungen der gegenwärtigen Welle technologischer Innovation – insbesondere jener im Zusammenhang mit künstlicher Intelligenz –, um das Wirtschaftswachstum wieder anzukurbeln.</w:t>
      </w:r>
      <w:r w:rsidR="00186C64">
        <w:rPr>
          <w:spacing w:val="-2"/>
          <w:lang w:val="de-CH"/>
        </w:rPr>
        <w:t xml:space="preserve"> </w:t>
      </w:r>
      <w:r w:rsidRPr="00186C64">
        <w:rPr>
          <w:spacing w:val="-2"/>
          <w:lang w:val="de-CH"/>
        </w:rPr>
        <w:t>Und ich muss zugeben, dass auch ich gegenüber dem technologischen Fortschritt generell immer optimistisch eingestellt war.</w:t>
      </w:r>
      <w:r w:rsidR="00186C64">
        <w:rPr>
          <w:spacing w:val="-2"/>
          <w:lang w:val="de-CH"/>
        </w:rPr>
        <w:t xml:space="preserve"> </w:t>
      </w:r>
      <w:r w:rsidRPr="00186C64">
        <w:rPr>
          <w:spacing w:val="-2"/>
          <w:lang w:val="de-CH"/>
        </w:rPr>
        <w:t>Doch Hoffnung ist keine Strategie.</w:t>
      </w:r>
      <w:r w:rsidR="00186C64">
        <w:rPr>
          <w:spacing w:val="-2"/>
          <w:lang w:val="de-CH"/>
        </w:rPr>
        <w:t xml:space="preserve"> </w:t>
      </w:r>
      <w:r w:rsidRPr="00186C64">
        <w:rPr>
          <w:spacing w:val="-2"/>
          <w:lang w:val="de-CH"/>
        </w:rPr>
        <w:t>Und ohnehin scheint es wenig wahrscheinlich, dass die jüngste Innovationswelle das zuvor dargestellte Gesamtbild grundlegend verändern wird.</w:t>
      </w:r>
    </w:p>
    <w:p w14:paraId="14E6DB23" w14:textId="43307708"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lastRenderedPageBreak/>
        <w:t>Wie sind wir in diese Situation geraten?</w:t>
      </w:r>
      <w:r w:rsidR="00186C64">
        <w:rPr>
          <w:spacing w:val="-2"/>
          <w:lang w:val="de-CH"/>
        </w:rPr>
        <w:t xml:space="preserve"> </w:t>
      </w:r>
      <w:r w:rsidRPr="00186C64">
        <w:rPr>
          <w:spacing w:val="-2"/>
          <w:lang w:val="de-CH"/>
        </w:rPr>
        <w:t>Kurz gesagt: aufgrund der politischen Unfähigkeit, schwierige und zugleich vorausschauende Entscheidungen zu treffen.</w:t>
      </w:r>
      <w:r w:rsidR="00186C64">
        <w:rPr>
          <w:spacing w:val="-2"/>
          <w:lang w:val="de-CH"/>
        </w:rPr>
        <w:t xml:space="preserve"> </w:t>
      </w:r>
      <w:r w:rsidRPr="00186C64">
        <w:rPr>
          <w:spacing w:val="-2"/>
          <w:lang w:val="de-CH"/>
        </w:rPr>
        <w:t>Diese Unfähigkeit wird durch eine gewisse „Wachstumsillusion“ verstärkt. Damit meine ich die Vorstellung, dass sich das Wachstum nachhaltig steigern lässt, indem eine expansive Fiskal- und Geldpolitik verfolgt wird – selbst um den Preis, jene Sicherheitsmargen zu verringern, die nur durch einen umsichtigen Einsatz dieser politischen Instrumente erhalten werden können.</w:t>
      </w:r>
    </w:p>
    <w:p w14:paraId="51C60F90" w14:textId="3B7E4C5E"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Viele Akteure tragen Verantwortung für diese Situation.</w:t>
      </w:r>
      <w:r w:rsidR="00186C64">
        <w:rPr>
          <w:spacing w:val="-2"/>
          <w:lang w:val="de-CH"/>
        </w:rPr>
        <w:t xml:space="preserve"> </w:t>
      </w:r>
      <w:r w:rsidRPr="00186C64">
        <w:rPr>
          <w:spacing w:val="-2"/>
          <w:lang w:val="de-CH"/>
        </w:rPr>
        <w:t>Die Finanzmärkte, weil sie nicht rechtzeitig Warnsignale ausgesendet haben. Die Ratingagenturen, weil sie zu zögerlich mit Herabstufungen waren oder diese zumindest verspätet vorgenommen haben.</w:t>
      </w:r>
      <w:r w:rsidR="00186C64">
        <w:rPr>
          <w:spacing w:val="-2"/>
          <w:lang w:val="de-CH"/>
        </w:rPr>
        <w:t xml:space="preserve"> </w:t>
      </w:r>
      <w:r w:rsidRPr="00186C64">
        <w:rPr>
          <w:spacing w:val="-2"/>
          <w:lang w:val="de-CH"/>
        </w:rPr>
        <w:t>Ich würde auch internationale Organisationen wie die OECD und – in etwas geringerem Masse – den Internationalen Währungsfonds nicht von jeder Verantwortung freisprechen, da auch dieser erst in jüngerer Zeit begonnen hat, ernsthafte Bedenken zu äussern.</w:t>
      </w:r>
      <w:r w:rsidR="00CE26E7">
        <w:rPr>
          <w:spacing w:val="-2"/>
          <w:lang w:val="de-CH"/>
        </w:rPr>
        <w:t xml:space="preserve"> </w:t>
      </w:r>
      <w:r w:rsidRPr="00186C64">
        <w:rPr>
          <w:spacing w:val="-2"/>
          <w:lang w:val="de-CH"/>
        </w:rPr>
        <w:t>Und schliesslich auch jene Wissenschaftlerinnen und Wissenschaftler, die angesichts einer aussergewöhnlich langen Phase aussergewöhnlich niedriger Realzinsen – teilweise sogar negativer Nominalzinsen – von einer „New Normal“ ohne absehbares Ende sprachen und damit faktisch die budgetären Restriktionen ausser Kraft zu setzen schienen.</w:t>
      </w:r>
    </w:p>
    <w:p w14:paraId="46325BCC" w14:textId="57DCA296"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Auch die Zentralbanken möchte ich nicht vollständig von einer gewissen Verantwortung ausnehmen.</w:t>
      </w:r>
      <w:r w:rsidR="00CE26E7">
        <w:rPr>
          <w:spacing w:val="-2"/>
          <w:lang w:val="de-CH"/>
        </w:rPr>
        <w:t xml:space="preserve"> </w:t>
      </w:r>
      <w:r w:rsidRPr="00186C64">
        <w:rPr>
          <w:spacing w:val="-2"/>
          <w:lang w:val="de-CH"/>
        </w:rPr>
        <w:t>Meine Forschung zeigt, dass Zentralbanken entgegen der verbreiteten Auffassung einen langfristigen Einfluss auf die realen Zinssätze ausüben können.</w:t>
      </w:r>
      <w:r w:rsidR="00CE26E7">
        <w:rPr>
          <w:spacing w:val="-2"/>
          <w:lang w:val="de-CH"/>
        </w:rPr>
        <w:t xml:space="preserve"> </w:t>
      </w:r>
      <w:r w:rsidRPr="00186C64">
        <w:rPr>
          <w:spacing w:val="-2"/>
          <w:lang w:val="de-CH"/>
        </w:rPr>
        <w:t>Darüber hinaus ist das gleichzeitige Auftreten niedriger und stabiler Inflation sowie niedriger Arbeitslosigkeit kein eindeutiger Beleg dafür, dass sich der Zinssatz auf seinem Gleichgewichtsniveau – dem sogenannten natürlichen Zinssatz – befindet.</w:t>
      </w:r>
      <w:r w:rsidR="00CE26E7">
        <w:rPr>
          <w:spacing w:val="-2"/>
          <w:lang w:val="de-CH"/>
        </w:rPr>
        <w:t xml:space="preserve"> </w:t>
      </w:r>
      <w:r w:rsidRPr="00186C64">
        <w:rPr>
          <w:spacing w:val="-2"/>
          <w:lang w:val="de-CH"/>
        </w:rPr>
        <w:t>Im Gegenteil: Vor der globalen Finanzkrise haben die niedrigen Zinssätze wahrscheinlich langfristig zur Instabilität beigetragen, indem sie die zuvor beschriebenen finanziellen Ungleichgewichte begünstigten.</w:t>
      </w:r>
      <w:r w:rsidR="00CE26E7">
        <w:rPr>
          <w:spacing w:val="-2"/>
          <w:lang w:val="de-CH"/>
        </w:rPr>
        <w:t xml:space="preserve"> </w:t>
      </w:r>
      <w:r w:rsidRPr="00186C64">
        <w:rPr>
          <w:spacing w:val="-2"/>
          <w:lang w:val="de-CH"/>
        </w:rPr>
        <w:t>Und nach der Krise wurden die Zinssätze selbst dann niedrig gehalten oder sogar weiter gesenkt, bis hin zu negativen Nominalzinsen, als sich die wirtschaftliche Erholung bereits deutlich gefestigt hatte. Auch die Ausweitung der Zentralbankbilanzen – die sogenannte quantitative Lockerung (Quantitative Easing, QE) – führte nicht zu den erhofften Ergebnissen.</w:t>
      </w:r>
      <w:r w:rsidR="00CE26E7">
        <w:rPr>
          <w:spacing w:val="-2"/>
          <w:lang w:val="de-CH"/>
        </w:rPr>
        <w:t xml:space="preserve"> </w:t>
      </w:r>
      <w:r w:rsidRPr="00186C64">
        <w:rPr>
          <w:spacing w:val="-2"/>
          <w:lang w:val="de-CH"/>
        </w:rPr>
        <w:t>Die Inflation blieb unter dem angestrebten Ziel, während die Geldpolitik – ebenso wie die Fiskalpolitik – wertvolle Sicherheitsmargen einbüsste und damit zum abrupten Inflationsanstieg nach der Covid-Pandemie beitrug.</w:t>
      </w:r>
    </w:p>
    <w:p w14:paraId="1E1570FC" w14:textId="6E7D3404"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Diese Suche nach den Verantwortlichen erinnert mich an Agatha Christies Kriminalroman Mord im Orient-Express, in dem Poirot feststellt, dass alle Passagiere schuldig sind.</w:t>
      </w:r>
      <w:r w:rsidR="00CE26E7">
        <w:rPr>
          <w:spacing w:val="-2"/>
          <w:lang w:val="de-CH"/>
        </w:rPr>
        <w:t xml:space="preserve"> </w:t>
      </w:r>
      <w:r w:rsidRPr="00186C64">
        <w:rPr>
          <w:spacing w:val="-2"/>
          <w:lang w:val="de-CH"/>
        </w:rPr>
        <w:t xml:space="preserve">Nun, bis zu einem </w:t>
      </w:r>
      <w:r w:rsidRPr="00186C64">
        <w:rPr>
          <w:spacing w:val="-2"/>
          <w:lang w:val="de-CH"/>
        </w:rPr>
        <w:lastRenderedPageBreak/>
        <w:t>gewissen Grad sind wir das alle.</w:t>
      </w:r>
    </w:p>
    <w:p w14:paraId="7C24A7C3" w14:textId="33D57207" w:rsidR="00F418F0" w:rsidRDefault="00F418F0" w:rsidP="00CE26E7">
      <w:pPr>
        <w:pStyle w:val="Corpsdetexte"/>
        <w:ind w:left="1"/>
        <w:rPr>
          <w:smallCaps/>
          <w:spacing w:val="-2"/>
          <w:lang w:val="de-CH"/>
        </w:rPr>
      </w:pPr>
      <w:r w:rsidRPr="00CE26E7">
        <w:rPr>
          <w:smallCaps/>
          <w:spacing w:val="-2"/>
          <w:lang w:val="de-CH"/>
        </w:rPr>
        <w:t>Was ist zu tun?</w:t>
      </w:r>
      <w:r w:rsidR="00CE26E7" w:rsidRPr="00CE26E7">
        <w:rPr>
          <w:smallCaps/>
          <w:spacing w:val="-2"/>
          <w:lang w:val="de-CH"/>
        </w:rPr>
        <w:t xml:space="preserve"> </w:t>
      </w:r>
      <w:r w:rsidRPr="00CE26E7">
        <w:rPr>
          <w:smallCaps/>
          <w:spacing w:val="-2"/>
          <w:lang w:val="de-CH"/>
        </w:rPr>
        <w:t>Der politische und geopolitische Kontext</w:t>
      </w:r>
    </w:p>
    <w:p w14:paraId="160FF417" w14:textId="77777777" w:rsidR="00CE26E7" w:rsidRPr="00CE26E7" w:rsidRDefault="00CE26E7" w:rsidP="00CE26E7">
      <w:pPr>
        <w:pStyle w:val="Corpsdetexte"/>
        <w:ind w:left="1"/>
        <w:rPr>
          <w:smallCaps/>
          <w:spacing w:val="-2"/>
          <w:lang w:val="de-CH"/>
        </w:rPr>
      </w:pPr>
    </w:p>
    <w:p w14:paraId="5F54C716" w14:textId="232FE77C"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Was sollten die Wirtschaftspolitiken angesichts dieser Überlegungen tun, um die am Horizont aufziehenden Risiken zu begrenzen?</w:t>
      </w:r>
      <w:r w:rsidR="00CE26E7">
        <w:rPr>
          <w:spacing w:val="-2"/>
          <w:lang w:val="de-CH"/>
        </w:rPr>
        <w:t xml:space="preserve"> </w:t>
      </w:r>
      <w:r w:rsidRPr="00186C64">
        <w:rPr>
          <w:spacing w:val="-2"/>
          <w:lang w:val="de-CH"/>
        </w:rPr>
        <w:t>An erster Stelle sollten sie eine langfristige Perspektive einnehmen und sich nicht von kurzfristigen wirtschaftlichen Entwicklungen ablenken lassen, die mitunter durch kurzsichtige fiskal-, geld- und makroprudenzielle Politiken verzerrt werden.</w:t>
      </w:r>
    </w:p>
    <w:p w14:paraId="461D822A" w14:textId="5C5AEDEB"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Dies bedeutet, die zuvor beschriebene Wachstumsillusion aufzugeben.</w:t>
      </w:r>
      <w:r w:rsidR="00CE26E7">
        <w:rPr>
          <w:spacing w:val="-2"/>
          <w:lang w:val="de-CH"/>
        </w:rPr>
        <w:t xml:space="preserve"> </w:t>
      </w:r>
      <w:r w:rsidRPr="00186C64">
        <w:rPr>
          <w:spacing w:val="-2"/>
          <w:lang w:val="de-CH"/>
        </w:rPr>
        <w:t>Es bedeutet, die Bedeutung der Aufrechterhaltung von Sicherheitsmargen beziehungsweise Puffern bei der Umsetzung der Geld- und Fiskalpolitik anzuerkennen, um sowohl künftige Rezessionen – die unweigerlich eintreten werden – als auch weniger vorhersehbare exogene Schocks wie Covid bewältigen zu können.</w:t>
      </w:r>
      <w:r w:rsidR="00CE26E7">
        <w:rPr>
          <w:spacing w:val="-2"/>
          <w:lang w:val="de-CH"/>
        </w:rPr>
        <w:t xml:space="preserve"> </w:t>
      </w:r>
      <w:r w:rsidRPr="00186C64">
        <w:rPr>
          <w:spacing w:val="-2"/>
          <w:lang w:val="de-CH"/>
        </w:rPr>
        <w:t>Es bedeutet ferner, dass Geld- und Fiskalpolitik eindeutig innerhalb einer Stabilitätszone beziehungsweise eines Stabilitätskorridors verbleiben müssen, um die Wirtschaft zu stützen; dass die Regulierungspolitik die Schutzmechanismen des Finanzsystems stärkt; und dass Strukturpolitiken wieder stärker in den Mittelpunkt rücken, damit die Marktkräfte die Wirtschaft auf nachhaltige Weise voranbringen können.</w:t>
      </w:r>
    </w:p>
    <w:p w14:paraId="0FB3B0E5" w14:textId="1562FBFF"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An erster Stelle muss die Fiskalpolitik ihre Nachhaltigkeit wiederherstellen.</w:t>
      </w:r>
      <w:r w:rsidR="00CE26E7">
        <w:rPr>
          <w:spacing w:val="-2"/>
          <w:lang w:val="de-CH"/>
        </w:rPr>
        <w:t xml:space="preserve"> </w:t>
      </w:r>
      <w:r w:rsidRPr="00186C64">
        <w:rPr>
          <w:spacing w:val="-2"/>
          <w:lang w:val="de-CH"/>
        </w:rPr>
        <w:t>Im Laufe meiner Karriere habe ich allzu oft eine Haltung erlebt, die ich als „augustinische“ Einstellung zur Haushaltskonsolidierung bezeichnen würde – nach dem Motto: „Herr, gib mir Keuschheit und Enthaltsamkeit, aber noch nicht jetzt.“</w:t>
      </w:r>
      <w:r w:rsidR="00CE26E7">
        <w:rPr>
          <w:spacing w:val="-2"/>
          <w:lang w:val="de-CH"/>
        </w:rPr>
        <w:t xml:space="preserve"> </w:t>
      </w:r>
      <w:r w:rsidRPr="00186C64">
        <w:rPr>
          <w:spacing w:val="-2"/>
          <w:lang w:val="de-CH"/>
        </w:rPr>
        <w:t>Selbst wenn die Notwendigkeit einer Konsolidierung erkannt wird – und dies ist keineswegs immer der Fall –, fehlt häufig der Mut, sie umzusetzen, ebenso wie die Möglichkeit, die Wählerschaft davon zu überzeugen.</w:t>
      </w:r>
      <w:r w:rsidR="00CE26E7">
        <w:rPr>
          <w:spacing w:val="-2"/>
          <w:lang w:val="de-CH"/>
        </w:rPr>
        <w:t xml:space="preserve"> </w:t>
      </w:r>
      <w:r w:rsidRPr="00186C64">
        <w:rPr>
          <w:spacing w:val="-2"/>
          <w:lang w:val="de-CH"/>
        </w:rPr>
        <w:t>Wie Jean-Claude Juncker, damals Präsident der Europäischen Kommission, einmal einräumte:</w:t>
      </w:r>
      <w:r w:rsidR="00CE26E7">
        <w:rPr>
          <w:spacing w:val="-2"/>
          <w:lang w:val="de-CH"/>
        </w:rPr>
        <w:t xml:space="preserve"> </w:t>
      </w:r>
      <w:r w:rsidRPr="00186C64">
        <w:rPr>
          <w:spacing w:val="-2"/>
          <w:lang w:val="de-CH"/>
        </w:rPr>
        <w:t>„Wir wissen alle, was zu tun ist; wir wissen nur nicht, wie wir danach wiedergewählt werden sollen.“</w:t>
      </w:r>
    </w:p>
    <w:p w14:paraId="7AB5CB71" w14:textId="78D1D6A3"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Für die Geldpolitik gilt ihrerseits, dass sie ihre Wachsamkeit gegenüber Inflationsrisiken nicht verlieren darf und gleichzeitig ein stärkeres Bewusstsein für ihre mittel- bis langfristigen Auswirkungen auf die Finanzstabilität entwickeln muss.</w:t>
      </w:r>
      <w:r w:rsidR="00CE26E7">
        <w:rPr>
          <w:spacing w:val="-2"/>
          <w:lang w:val="de-CH"/>
        </w:rPr>
        <w:t xml:space="preserve"> </w:t>
      </w:r>
      <w:r w:rsidRPr="00186C64">
        <w:rPr>
          <w:spacing w:val="-2"/>
          <w:lang w:val="de-CH"/>
        </w:rPr>
        <w:t>Dieses Bewusstsein ist notwendig, um der Versuchung zu widerstehen, die Zinssätze übermässig zu senken und dadurch wertvollen Handlungsspielraum einzubüssen.</w:t>
      </w:r>
      <w:r w:rsidR="00CE26E7">
        <w:rPr>
          <w:spacing w:val="-2"/>
          <w:lang w:val="de-CH"/>
        </w:rPr>
        <w:t xml:space="preserve"> </w:t>
      </w:r>
      <w:r w:rsidRPr="00186C64">
        <w:rPr>
          <w:spacing w:val="-2"/>
          <w:lang w:val="de-CH"/>
        </w:rPr>
        <w:t>Dies ist im gegenwärtigen makrofinanziellen Umfeld umso wichtiger, angesichts der hohen Dynamik an den Finanzmärkten und der aktuellen Phase des Finanzzyklus.</w:t>
      </w:r>
    </w:p>
    <w:p w14:paraId="521201CD" w14:textId="171A769F"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Schliesslich darf auch die makroprudenzielle Politik die inhärente Instabilität des Finanzsystems niemals aus den Augen verlieren.</w:t>
      </w:r>
      <w:r w:rsidR="00CE26E7">
        <w:rPr>
          <w:spacing w:val="-2"/>
          <w:lang w:val="de-CH"/>
        </w:rPr>
        <w:t xml:space="preserve"> </w:t>
      </w:r>
      <w:r w:rsidRPr="00186C64">
        <w:rPr>
          <w:spacing w:val="-2"/>
          <w:lang w:val="de-CH"/>
        </w:rPr>
        <w:t xml:space="preserve">In jedem Bereich der Realwirtschaft führt eine Zunahme des </w:t>
      </w:r>
      <w:r w:rsidRPr="00186C64">
        <w:rPr>
          <w:spacing w:val="-2"/>
          <w:lang w:val="de-CH"/>
        </w:rPr>
        <w:lastRenderedPageBreak/>
        <w:t>Angebots zu sinkenden Preisen, was wiederum das Angebot stabilisiert.</w:t>
      </w:r>
      <w:r w:rsidR="00CE26E7">
        <w:rPr>
          <w:spacing w:val="-2"/>
          <w:lang w:val="de-CH"/>
        </w:rPr>
        <w:t xml:space="preserve"> </w:t>
      </w:r>
      <w:r w:rsidRPr="00186C64">
        <w:rPr>
          <w:spacing w:val="-2"/>
          <w:lang w:val="de-CH"/>
        </w:rPr>
        <w:t>Für den Finanzsektor gilt dies nicht. Dort führt eine Ausweitung des Angebots in Form einer Ausweitung der Kredit- und Finanzierungskapazität vielmehr zu steigenden Preisen für Finanz- und Immobilienvermögen.</w:t>
      </w:r>
      <w:r w:rsidR="00CE26E7">
        <w:rPr>
          <w:spacing w:val="-2"/>
          <w:lang w:val="de-CH"/>
        </w:rPr>
        <w:t xml:space="preserve"> </w:t>
      </w:r>
      <w:r w:rsidRPr="00186C64">
        <w:rPr>
          <w:spacing w:val="-2"/>
          <w:lang w:val="de-CH"/>
        </w:rPr>
        <w:t>Es entsteht ein sich selbst verstärkender Prozess, der finanzielle Ungleichgewichte hervorrufen kann.</w:t>
      </w:r>
      <w:r w:rsidR="00CE26E7">
        <w:rPr>
          <w:spacing w:val="-2"/>
          <w:lang w:val="de-CH"/>
        </w:rPr>
        <w:t xml:space="preserve"> </w:t>
      </w:r>
      <w:r w:rsidRPr="00186C64">
        <w:rPr>
          <w:spacing w:val="-2"/>
          <w:lang w:val="de-CH"/>
        </w:rPr>
        <w:t>Eine Deregulierung der Realwirtschaft ist daher grundsätzlich zu begrüssen; gleichzeitig müssen jedoch die wesentlichen Beschränkungen und Schutzmechanismen des Finanzsystems erhalten bleiben.</w:t>
      </w:r>
    </w:p>
    <w:p w14:paraId="076B5174" w14:textId="57B616DB"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Das gegenwärtige politische und geopolitische Umfeld ist für die notwendigen Anpassungen nicht förderlich.</w:t>
      </w:r>
      <w:r w:rsidR="00CE26E7">
        <w:rPr>
          <w:spacing w:val="-2"/>
          <w:lang w:val="de-CH"/>
        </w:rPr>
        <w:t xml:space="preserve"> </w:t>
      </w:r>
      <w:r w:rsidRPr="00186C64">
        <w:rPr>
          <w:spacing w:val="-2"/>
          <w:lang w:val="de-CH"/>
        </w:rPr>
        <w:t>Wir erleben einen Rückzug von der Globalisierung und zunehmende geopolitische Spannungen.</w:t>
      </w:r>
      <w:r w:rsidR="00CE26E7">
        <w:rPr>
          <w:spacing w:val="-2"/>
          <w:lang w:val="de-CH"/>
        </w:rPr>
        <w:t xml:space="preserve"> </w:t>
      </w:r>
      <w:r w:rsidRPr="00186C64">
        <w:rPr>
          <w:spacing w:val="-2"/>
          <w:lang w:val="de-CH"/>
        </w:rPr>
        <w:t>Teilweise aufgrund der Unfähigkeit, die Auswirkungen von Handels- und Migrationsströmen angemessen zu bewältigen, hat sich der Schwerpunkt des politischen Spektrums verschoben und setzt die Sicherheitsmargen der drei bislang analysierten Politikbereiche – Geldpolitik, Fiskalpolitik und makroprudenzielle Politik – zunehmend unter Druck.</w:t>
      </w:r>
      <w:r w:rsidR="00CE26E7">
        <w:rPr>
          <w:spacing w:val="-2"/>
          <w:lang w:val="de-CH"/>
        </w:rPr>
        <w:t xml:space="preserve"> </w:t>
      </w:r>
      <w:r w:rsidRPr="00186C64">
        <w:rPr>
          <w:spacing w:val="-2"/>
          <w:lang w:val="de-CH"/>
        </w:rPr>
        <w:t>Ein besonders eindrückliches Beispiel ist die zunehmende Infragestellung des Prinzips der Unabhängigkeit der Zentralbanken – eines Prinzips, das ich als wesentlichen Bestandteil der „institutionellen Hygiene“ betrachte.</w:t>
      </w:r>
      <w:r w:rsidR="00CE26E7">
        <w:rPr>
          <w:spacing w:val="-2"/>
          <w:lang w:val="de-CH"/>
        </w:rPr>
        <w:t xml:space="preserve"> </w:t>
      </w:r>
      <w:r w:rsidRPr="00186C64">
        <w:rPr>
          <w:spacing w:val="-2"/>
          <w:lang w:val="de-CH"/>
        </w:rPr>
        <w:t>Auch die für eine angemessene Reaktion auf die wirtschaftlichen Herausforderungen notwendige internationale Zusammenarbeit steht unter Druck – in einer Welt, die trotz aller gegenwärtigen Veränderungen nach wie vor tiefgreifend miteinander verflochten ist.</w:t>
      </w:r>
    </w:p>
    <w:p w14:paraId="3B207D39" w14:textId="77777777" w:rsidR="00F418F0" w:rsidRPr="00CE26E7" w:rsidRDefault="00F418F0" w:rsidP="00F418F0">
      <w:pPr>
        <w:widowControl/>
        <w:autoSpaceDE/>
        <w:autoSpaceDN/>
        <w:spacing w:before="100" w:beforeAutospacing="1" w:after="100" w:afterAutospacing="1"/>
        <w:outlineLvl w:val="0"/>
        <w:rPr>
          <w:smallCaps/>
          <w:spacing w:val="-2"/>
          <w:lang w:val="de-CH"/>
        </w:rPr>
      </w:pPr>
      <w:r w:rsidRPr="00CE26E7">
        <w:rPr>
          <w:smallCaps/>
          <w:spacing w:val="-2"/>
          <w:lang w:val="de-CH"/>
        </w:rPr>
        <w:t>Schlussfolgerung</w:t>
      </w:r>
    </w:p>
    <w:p w14:paraId="03021805" w14:textId="3F3713B7"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Zum Abschluss lässt sich festhalten, dass sich die Weltwirtschaft angesichts der politischen und geopolitischen Schocks des vergangenen Jahres – insbesondere des derzeit andauernden Handelskonflikts – als erstaunlich widerstandsfähig erwiesen hat.</w:t>
      </w:r>
      <w:r w:rsidR="00CE26E7">
        <w:rPr>
          <w:spacing w:val="-2"/>
          <w:lang w:val="de-CH"/>
        </w:rPr>
        <w:t xml:space="preserve"> </w:t>
      </w:r>
      <w:r w:rsidRPr="00186C64">
        <w:rPr>
          <w:spacing w:val="-2"/>
          <w:lang w:val="de-CH"/>
        </w:rPr>
        <w:t>Wenn wir jedoch die wichtigsten wirtschaftlichen Herausforderungen der Zukunft verstehen wollen, müssen wir über unsere unmittelbare Umgebung hinausblicken.</w:t>
      </w:r>
      <w:r w:rsidR="00CE26E7">
        <w:rPr>
          <w:spacing w:val="-2"/>
          <w:lang w:val="de-CH"/>
        </w:rPr>
        <w:t xml:space="preserve"> </w:t>
      </w:r>
      <w:r w:rsidRPr="00186C64">
        <w:rPr>
          <w:spacing w:val="-2"/>
          <w:lang w:val="de-CH"/>
        </w:rPr>
        <w:t>Nur dann werden wir in der Lage sein, die sich am Horizont zusammenziehenden Sturmwolken zu erkennen – Sturmwolken, die die globale makroökonomische und finanzielle Stabilität gefährden könnten.</w:t>
      </w:r>
      <w:r w:rsidR="00CE26E7">
        <w:rPr>
          <w:spacing w:val="-2"/>
          <w:lang w:val="de-CH"/>
        </w:rPr>
        <w:t xml:space="preserve"> </w:t>
      </w:r>
      <w:r w:rsidRPr="00186C64">
        <w:rPr>
          <w:spacing w:val="-2"/>
          <w:lang w:val="de-CH"/>
        </w:rPr>
        <w:t>Die für eine angemessene Reaktion auf solche Instabilität unerlässlichen Sicherheitsmargen werden gefährlich knapp.</w:t>
      </w:r>
      <w:r w:rsidR="00CE26E7">
        <w:rPr>
          <w:spacing w:val="-2"/>
          <w:lang w:val="de-CH"/>
        </w:rPr>
        <w:t xml:space="preserve"> </w:t>
      </w:r>
      <w:r w:rsidRPr="00186C64">
        <w:rPr>
          <w:spacing w:val="-2"/>
          <w:lang w:val="de-CH"/>
        </w:rPr>
        <w:t>In jedem Tätigkeitsbereich ist die Aufrechterhaltung von Sicherheitsmargen ein grundlegendes strategisches Prinzip. Warum sollte dies für die makroökonomische Stabilisierungspolitik nicht ebenso gelten?</w:t>
      </w:r>
    </w:p>
    <w:p w14:paraId="3C7FAF59" w14:textId="337985A6"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Es ist ein Kurswechsel erforderlich.</w:t>
      </w:r>
      <w:r w:rsidR="00CE26E7">
        <w:rPr>
          <w:spacing w:val="-2"/>
          <w:lang w:val="de-CH"/>
        </w:rPr>
        <w:t xml:space="preserve"> </w:t>
      </w:r>
      <w:r w:rsidRPr="00186C64">
        <w:rPr>
          <w:spacing w:val="-2"/>
          <w:lang w:val="de-CH"/>
        </w:rPr>
        <w:t xml:space="preserve">Die entscheidende Frage lautet, ob die politische Klasse dieser Aufgabe gewachsen ist – ob sie über das erforderliche Bewusstsein und die notwendige </w:t>
      </w:r>
      <w:r w:rsidRPr="00186C64">
        <w:rPr>
          <w:spacing w:val="-2"/>
          <w:lang w:val="de-CH"/>
        </w:rPr>
        <w:lastRenderedPageBreak/>
        <w:t>Fähigkeit verfügt, die entsprechenden Massnahmen umzusetzen.</w:t>
      </w:r>
      <w:r w:rsidR="00CE26E7">
        <w:rPr>
          <w:spacing w:val="-2"/>
          <w:lang w:val="de-CH"/>
        </w:rPr>
        <w:t xml:space="preserve"> </w:t>
      </w:r>
      <w:r w:rsidRPr="00186C64">
        <w:rPr>
          <w:spacing w:val="-2"/>
          <w:lang w:val="de-CH"/>
        </w:rPr>
        <w:t>Mitunter denke ich an den Ausspruch von Don Abbondio: „Mut – wenn man ihn nicht hat, kann man ihn sich nicht einfach selbst geben.“</w:t>
      </w:r>
    </w:p>
    <w:p w14:paraId="1A6D8219" w14:textId="46C0B078"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Sie mögen das von mir gezeichnete Bild für allzu pessimistisch halten. Und vielleicht haben Sie damit recht.</w:t>
      </w:r>
      <w:r w:rsidR="00CE26E7">
        <w:rPr>
          <w:spacing w:val="-2"/>
          <w:lang w:val="de-CH"/>
        </w:rPr>
        <w:t xml:space="preserve"> </w:t>
      </w:r>
      <w:r w:rsidRPr="00186C64">
        <w:rPr>
          <w:spacing w:val="-2"/>
          <w:lang w:val="de-CH"/>
        </w:rPr>
        <w:t>Ich war jedoch stets der Überzeugung, dass Gramsci recht hatte, als er feststellte, dass wir zur Verwirklichung anspruchsvoller Ziele den „Pessimismus des Verstandes und den Optimismus des Willens“ benötigen.</w:t>
      </w:r>
      <w:r w:rsidR="00CE26E7">
        <w:rPr>
          <w:spacing w:val="-2"/>
          <w:lang w:val="de-CH"/>
        </w:rPr>
        <w:t xml:space="preserve"> </w:t>
      </w:r>
      <w:r w:rsidRPr="00186C64">
        <w:rPr>
          <w:spacing w:val="-2"/>
          <w:lang w:val="de-CH"/>
        </w:rPr>
        <w:t>Heute wie während meiner gesamten beruflichen Laufbahn bin ich der Ansicht, dass der beste Beitrag, den ich zur Veränderung der Realität leisten kann, darin besteht, eine Analyse vorzulegen, von der ich hoffe, dass sie klar und präzise, zugleich aber auch ehrlich und frei von Illusionen ist.</w:t>
      </w:r>
      <w:r w:rsidR="00CE26E7">
        <w:rPr>
          <w:spacing w:val="-2"/>
          <w:lang w:val="de-CH"/>
        </w:rPr>
        <w:t xml:space="preserve"> </w:t>
      </w:r>
      <w:r w:rsidRPr="00186C64">
        <w:rPr>
          <w:spacing w:val="-2"/>
          <w:lang w:val="de-CH"/>
        </w:rPr>
        <w:t>Es liegt an der politischen Klasse, die weitaus schwierigere Aufgabe zu übernehmen: diese Analyse durch konkrete und entschlossene Entscheidungen in tatsächliche Veränderungen zu überführen.</w:t>
      </w:r>
    </w:p>
    <w:p w14:paraId="7624BA57" w14:textId="77777777" w:rsidR="00F418F0" w:rsidRPr="00186C64" w:rsidRDefault="00F418F0" w:rsidP="00CE26E7">
      <w:pPr>
        <w:pStyle w:val="Corpsdetexte"/>
        <w:spacing w:after="240" w:line="376" w:lineRule="auto"/>
        <w:ind w:left="1" w:right="137"/>
        <w:jc w:val="both"/>
        <w:rPr>
          <w:spacing w:val="-2"/>
          <w:lang w:val="de-CH"/>
        </w:rPr>
      </w:pPr>
      <w:r w:rsidRPr="00186C64">
        <w:rPr>
          <w:spacing w:val="-2"/>
          <w:lang w:val="de-CH"/>
        </w:rPr>
        <w:t>Vielen Dank.</w:t>
      </w:r>
    </w:p>
    <w:p w14:paraId="323F94AD" w14:textId="77777777" w:rsidR="00C67C54" w:rsidRDefault="00C67C54">
      <w:pPr>
        <w:pStyle w:val="Corpsdetexte"/>
        <w:jc w:val="both"/>
        <w:sectPr w:rsidR="00C67C54" w:rsidSect="005A2923">
          <w:footerReference w:type="even" r:id="rId6"/>
          <w:footerReference w:type="default" r:id="rId7"/>
          <w:type w:val="continuous"/>
          <w:pgSz w:w="11910" w:h="16840" w:code="9"/>
          <w:pgMar w:top="1843" w:right="1276" w:bottom="1134" w:left="1418" w:header="0" w:footer="567" w:gutter="0"/>
          <w:cols w:space="720"/>
        </w:sectPr>
      </w:pPr>
    </w:p>
    <w:p w14:paraId="4C3782BF" w14:textId="77777777" w:rsidR="00C67C54" w:rsidRDefault="00C67C54">
      <w:pPr>
        <w:pStyle w:val="Corpsdetexte"/>
        <w:spacing w:before="87"/>
      </w:pPr>
    </w:p>
    <w:p w14:paraId="089FACD3" w14:textId="77777777" w:rsidR="00C67C54" w:rsidRDefault="00000000">
      <w:pPr>
        <w:pStyle w:val="Corpsdetexte"/>
        <w:ind w:left="93" w:right="230"/>
        <w:jc w:val="center"/>
      </w:pPr>
      <w:r>
        <w:rPr>
          <w:spacing w:val="-2"/>
        </w:rPr>
        <w:t>REFERENCES</w:t>
      </w:r>
    </w:p>
    <w:p w14:paraId="70B5C4C2" w14:textId="77777777" w:rsidR="00C67C54" w:rsidRDefault="00C67C54">
      <w:pPr>
        <w:pStyle w:val="Corpsdetexte"/>
      </w:pPr>
    </w:p>
    <w:p w14:paraId="084A49D4" w14:textId="77777777" w:rsidR="00C67C54" w:rsidRDefault="00C67C54">
      <w:pPr>
        <w:pStyle w:val="Corpsdetexte"/>
        <w:spacing w:before="42"/>
      </w:pPr>
    </w:p>
    <w:p w14:paraId="24FF0D87" w14:textId="77777777" w:rsidR="00C67C54" w:rsidRDefault="00000000">
      <w:pPr>
        <w:pStyle w:val="Corpsdetexte"/>
        <w:spacing w:line="374" w:lineRule="auto"/>
        <w:ind w:left="568" w:right="137" w:hanging="568"/>
        <w:jc w:val="both"/>
      </w:pPr>
      <w:r>
        <w:rPr>
          <w:spacing w:val="-2"/>
        </w:rPr>
        <w:t>Aldasoro,</w:t>
      </w:r>
      <w:r>
        <w:rPr>
          <w:spacing w:val="-12"/>
        </w:rPr>
        <w:t xml:space="preserve"> </w:t>
      </w:r>
      <w:r>
        <w:rPr>
          <w:spacing w:val="-2"/>
        </w:rPr>
        <w:t>I.,</w:t>
      </w:r>
      <w:r>
        <w:rPr>
          <w:spacing w:val="-11"/>
        </w:rPr>
        <w:t xml:space="preserve"> </w:t>
      </w:r>
      <w:r>
        <w:rPr>
          <w:spacing w:val="-2"/>
        </w:rPr>
        <w:t>S.</w:t>
      </w:r>
      <w:r>
        <w:rPr>
          <w:spacing w:val="-9"/>
        </w:rPr>
        <w:t xml:space="preserve"> </w:t>
      </w:r>
      <w:r>
        <w:rPr>
          <w:spacing w:val="-2"/>
        </w:rPr>
        <w:t>Avdjiev, C. Borio</w:t>
      </w:r>
      <w:r>
        <w:rPr>
          <w:spacing w:val="-12"/>
        </w:rPr>
        <w:t xml:space="preserve"> </w:t>
      </w:r>
      <w:r>
        <w:rPr>
          <w:spacing w:val="-2"/>
        </w:rPr>
        <w:t>and</w:t>
      </w:r>
      <w:r>
        <w:rPr>
          <w:spacing w:val="-11"/>
        </w:rPr>
        <w:t xml:space="preserve"> </w:t>
      </w:r>
      <w:r>
        <w:rPr>
          <w:spacing w:val="-2"/>
        </w:rPr>
        <w:t xml:space="preserve">P. Disyatat (2023), “Global and Domestic Financial Cycles: </w:t>
      </w:r>
      <w:r>
        <w:t>Variations</w:t>
      </w:r>
      <w:r>
        <w:rPr>
          <w:spacing w:val="-4"/>
        </w:rPr>
        <w:t xml:space="preserve"> </w:t>
      </w:r>
      <w:r>
        <w:t>on</w:t>
      </w:r>
      <w:r>
        <w:rPr>
          <w:spacing w:val="-4"/>
        </w:rPr>
        <w:t xml:space="preserve"> </w:t>
      </w:r>
      <w:r>
        <w:t>a</w:t>
      </w:r>
      <w:r>
        <w:rPr>
          <w:spacing w:val="-4"/>
        </w:rPr>
        <w:t xml:space="preserve"> </w:t>
      </w:r>
      <w:r>
        <w:t>Theme”,</w:t>
      </w:r>
      <w:r>
        <w:rPr>
          <w:spacing w:val="-3"/>
        </w:rPr>
        <w:t xml:space="preserve"> </w:t>
      </w:r>
      <w:r>
        <w:rPr>
          <w:i/>
          <w:sz w:val="23"/>
        </w:rPr>
        <w:t>International</w:t>
      </w:r>
      <w:r>
        <w:rPr>
          <w:i/>
          <w:spacing w:val="-7"/>
          <w:sz w:val="23"/>
        </w:rPr>
        <w:t xml:space="preserve"> </w:t>
      </w:r>
      <w:r>
        <w:rPr>
          <w:i/>
          <w:sz w:val="23"/>
        </w:rPr>
        <w:t>Journal</w:t>
      </w:r>
      <w:r>
        <w:rPr>
          <w:i/>
          <w:spacing w:val="-8"/>
          <w:sz w:val="23"/>
        </w:rPr>
        <w:t xml:space="preserve"> </w:t>
      </w:r>
      <w:r>
        <w:rPr>
          <w:i/>
          <w:sz w:val="23"/>
        </w:rPr>
        <w:t>of</w:t>
      </w:r>
      <w:r>
        <w:rPr>
          <w:i/>
          <w:spacing w:val="-7"/>
          <w:sz w:val="23"/>
        </w:rPr>
        <w:t xml:space="preserve"> </w:t>
      </w:r>
      <w:r>
        <w:rPr>
          <w:i/>
          <w:sz w:val="23"/>
        </w:rPr>
        <w:t>Central</w:t>
      </w:r>
      <w:r>
        <w:rPr>
          <w:i/>
          <w:spacing w:val="-7"/>
          <w:sz w:val="23"/>
        </w:rPr>
        <w:t xml:space="preserve"> </w:t>
      </w:r>
      <w:r>
        <w:rPr>
          <w:i/>
          <w:sz w:val="23"/>
        </w:rPr>
        <w:t>Banking</w:t>
      </w:r>
      <w:r>
        <w:t>,</w:t>
      </w:r>
      <w:r>
        <w:rPr>
          <w:spacing w:val="-4"/>
        </w:rPr>
        <w:t xml:space="preserve"> </w:t>
      </w:r>
      <w:r>
        <w:t>19(5),</w:t>
      </w:r>
      <w:r>
        <w:rPr>
          <w:spacing w:val="-4"/>
        </w:rPr>
        <w:t xml:space="preserve"> </w:t>
      </w:r>
      <w:r>
        <w:t>49-98.</w:t>
      </w:r>
      <w:r>
        <w:rPr>
          <w:spacing w:val="-4"/>
        </w:rPr>
        <w:t xml:space="preserve"> </w:t>
      </w:r>
      <w:r>
        <w:t xml:space="preserve">Also available as BIS Working Papers No. 864, May 2020, </w:t>
      </w:r>
      <w:hyperlink r:id="rId8">
        <w:r w:rsidR="00C67C54">
          <w:rPr>
            <w:color w:val="0000FF"/>
            <w:spacing w:val="-2"/>
            <w:u w:val="single" w:color="0000FF"/>
          </w:rPr>
          <w:t>https://www.ijcb.org/journal/ijcb23q5a2.pdf</w:t>
        </w:r>
      </w:hyperlink>
    </w:p>
    <w:p w14:paraId="67B6C0C4" w14:textId="77777777" w:rsidR="00C67C54" w:rsidRDefault="00000000">
      <w:pPr>
        <w:pStyle w:val="Corpsdetexte"/>
        <w:spacing w:before="7" w:line="379" w:lineRule="auto"/>
        <w:ind w:left="569" w:right="139" w:hanging="527"/>
        <w:jc w:val="both"/>
      </w:pPr>
      <w:r>
        <w:t>BIS</w:t>
      </w:r>
      <w:r>
        <w:rPr>
          <w:spacing w:val="-14"/>
        </w:rPr>
        <w:t xml:space="preserve"> </w:t>
      </w:r>
      <w:r>
        <w:t>(2023), “Monetary</w:t>
      </w:r>
      <w:r>
        <w:rPr>
          <w:spacing w:val="-14"/>
        </w:rPr>
        <w:t xml:space="preserve"> </w:t>
      </w:r>
      <w:r>
        <w:t>and Fiscal Policy: Safeguarding Stability and Trust”,</w:t>
      </w:r>
      <w:r>
        <w:rPr>
          <w:spacing w:val="-14"/>
        </w:rPr>
        <w:t xml:space="preserve"> </w:t>
      </w:r>
      <w:r>
        <w:t xml:space="preserve">Bank for International Settlements Annual Economic Report 2023, June, Chapter II, pp 83-41, </w:t>
      </w:r>
      <w:hyperlink r:id="rId9">
        <w:r w:rsidR="00C67C54">
          <w:rPr>
            <w:color w:val="0000FF"/>
            <w:spacing w:val="-2"/>
            <w:u w:val="single" w:color="0000FF"/>
          </w:rPr>
          <w:t>https://www.bis.org/publ/arpdf/ar2023e2.htm</w:t>
        </w:r>
      </w:hyperlink>
    </w:p>
    <w:p w14:paraId="690E1F67" w14:textId="77777777" w:rsidR="00C67C54" w:rsidRDefault="00000000">
      <w:pPr>
        <w:pStyle w:val="Corpsdetexte"/>
        <w:spacing w:before="3" w:line="379" w:lineRule="auto"/>
        <w:ind w:left="569" w:right="138" w:hanging="568"/>
        <w:jc w:val="both"/>
      </w:pPr>
      <w:r>
        <w:rPr>
          <w:spacing w:val="-4"/>
        </w:rPr>
        <w:t>BIS (2024),</w:t>
      </w:r>
      <w:r>
        <w:rPr>
          <w:spacing w:val="-5"/>
        </w:rPr>
        <w:t xml:space="preserve"> </w:t>
      </w:r>
      <w:r>
        <w:rPr>
          <w:spacing w:val="-4"/>
        </w:rPr>
        <w:t>“Monetary</w:t>
      </w:r>
      <w:r>
        <w:rPr>
          <w:spacing w:val="-5"/>
        </w:rPr>
        <w:t xml:space="preserve"> </w:t>
      </w:r>
      <w:r>
        <w:rPr>
          <w:spacing w:val="-4"/>
        </w:rPr>
        <w:t>Policy</w:t>
      </w:r>
      <w:r>
        <w:rPr>
          <w:spacing w:val="-5"/>
        </w:rPr>
        <w:t xml:space="preserve"> </w:t>
      </w:r>
      <w:r>
        <w:rPr>
          <w:spacing w:val="-4"/>
        </w:rPr>
        <w:t>in</w:t>
      </w:r>
      <w:r>
        <w:rPr>
          <w:spacing w:val="-5"/>
        </w:rPr>
        <w:t xml:space="preserve"> </w:t>
      </w:r>
      <w:r>
        <w:rPr>
          <w:spacing w:val="-4"/>
        </w:rPr>
        <w:t>the 21st</w:t>
      </w:r>
      <w:r>
        <w:rPr>
          <w:spacing w:val="-5"/>
        </w:rPr>
        <w:t xml:space="preserve"> </w:t>
      </w:r>
      <w:r>
        <w:rPr>
          <w:spacing w:val="-4"/>
        </w:rPr>
        <w:t>Century:</w:t>
      </w:r>
      <w:r>
        <w:rPr>
          <w:spacing w:val="-5"/>
        </w:rPr>
        <w:t xml:space="preserve"> </w:t>
      </w:r>
      <w:r>
        <w:rPr>
          <w:spacing w:val="-4"/>
        </w:rPr>
        <w:t>Lessons</w:t>
      </w:r>
      <w:r>
        <w:rPr>
          <w:spacing w:val="-5"/>
        </w:rPr>
        <w:t xml:space="preserve"> </w:t>
      </w:r>
      <w:r>
        <w:rPr>
          <w:spacing w:val="-4"/>
        </w:rPr>
        <w:t>Learned</w:t>
      </w:r>
      <w:r>
        <w:rPr>
          <w:spacing w:val="-5"/>
        </w:rPr>
        <w:t xml:space="preserve"> </w:t>
      </w:r>
      <w:r>
        <w:rPr>
          <w:spacing w:val="-4"/>
        </w:rPr>
        <w:t>and Challenges</w:t>
      </w:r>
      <w:r>
        <w:rPr>
          <w:spacing w:val="-5"/>
        </w:rPr>
        <w:t xml:space="preserve"> </w:t>
      </w:r>
      <w:r>
        <w:rPr>
          <w:spacing w:val="-4"/>
        </w:rPr>
        <w:t xml:space="preserve">Ahead”, Bank </w:t>
      </w:r>
      <w:r>
        <w:t>for</w:t>
      </w:r>
      <w:r>
        <w:rPr>
          <w:spacing w:val="-14"/>
        </w:rPr>
        <w:t xml:space="preserve"> </w:t>
      </w:r>
      <w:r>
        <w:t>International</w:t>
      </w:r>
      <w:r>
        <w:rPr>
          <w:spacing w:val="-13"/>
        </w:rPr>
        <w:t xml:space="preserve"> </w:t>
      </w:r>
      <w:r>
        <w:t>Settlements</w:t>
      </w:r>
      <w:r>
        <w:rPr>
          <w:spacing w:val="-13"/>
        </w:rPr>
        <w:t xml:space="preserve"> </w:t>
      </w:r>
      <w:r>
        <w:t>Annual</w:t>
      </w:r>
      <w:r>
        <w:rPr>
          <w:spacing w:val="-14"/>
        </w:rPr>
        <w:t xml:space="preserve"> </w:t>
      </w:r>
      <w:r>
        <w:t>Economic</w:t>
      </w:r>
      <w:r>
        <w:rPr>
          <w:spacing w:val="-13"/>
        </w:rPr>
        <w:t xml:space="preserve"> </w:t>
      </w:r>
      <w:r>
        <w:t>Report</w:t>
      </w:r>
      <w:r>
        <w:rPr>
          <w:spacing w:val="-13"/>
        </w:rPr>
        <w:t xml:space="preserve"> </w:t>
      </w:r>
      <w:r>
        <w:t>2024,</w:t>
      </w:r>
      <w:r>
        <w:rPr>
          <w:spacing w:val="-13"/>
        </w:rPr>
        <w:t xml:space="preserve"> </w:t>
      </w:r>
      <w:r>
        <w:t>June,</w:t>
      </w:r>
      <w:r>
        <w:rPr>
          <w:spacing w:val="-14"/>
        </w:rPr>
        <w:t xml:space="preserve"> </w:t>
      </w:r>
      <w:r>
        <w:t>Chapter</w:t>
      </w:r>
      <w:r>
        <w:rPr>
          <w:spacing w:val="-13"/>
        </w:rPr>
        <w:t xml:space="preserve"> </w:t>
      </w:r>
      <w:r>
        <w:t>II,</w:t>
      </w:r>
      <w:r>
        <w:rPr>
          <w:spacing w:val="-13"/>
        </w:rPr>
        <w:t xml:space="preserve"> </w:t>
      </w:r>
      <w:r>
        <w:t>pp</w:t>
      </w:r>
      <w:r>
        <w:rPr>
          <w:spacing w:val="-13"/>
        </w:rPr>
        <w:t xml:space="preserve"> </w:t>
      </w:r>
      <w:r>
        <w:t xml:space="preserve">41-89, </w:t>
      </w:r>
      <w:hyperlink r:id="rId10">
        <w:r w:rsidR="00C67C54">
          <w:rPr>
            <w:color w:val="0000FF"/>
            <w:spacing w:val="-2"/>
            <w:u w:val="single" w:color="0000FF"/>
          </w:rPr>
          <w:t>https://www.bis.org/publ/arpdf/ar2024e2.htm</w:t>
        </w:r>
      </w:hyperlink>
    </w:p>
    <w:p w14:paraId="5DD7AA74" w14:textId="77777777" w:rsidR="00C67C54" w:rsidRDefault="00000000">
      <w:pPr>
        <w:pStyle w:val="Corpsdetexte"/>
        <w:spacing w:before="3" w:line="372" w:lineRule="auto"/>
        <w:ind w:left="569" w:right="137" w:hanging="568"/>
        <w:jc w:val="both"/>
      </w:pPr>
      <w:r>
        <w:t>Borio, C. (2003), “Towards a Macroprudential Framework for Financial Supervision and Regulation?”,</w:t>
      </w:r>
      <w:r>
        <w:rPr>
          <w:spacing w:val="-14"/>
        </w:rPr>
        <w:t xml:space="preserve"> </w:t>
      </w:r>
      <w:r>
        <w:rPr>
          <w:i/>
          <w:sz w:val="23"/>
        </w:rPr>
        <w:t>CESifo</w:t>
      </w:r>
      <w:r>
        <w:rPr>
          <w:i/>
          <w:spacing w:val="-11"/>
          <w:sz w:val="23"/>
        </w:rPr>
        <w:t xml:space="preserve"> </w:t>
      </w:r>
      <w:r>
        <w:rPr>
          <w:i/>
          <w:sz w:val="23"/>
        </w:rPr>
        <w:t>Economic Studies</w:t>
      </w:r>
      <w:r>
        <w:t xml:space="preserve">, 49(2), 181-215. Also available as BIS Working </w:t>
      </w:r>
      <w:r>
        <w:rPr>
          <w:spacing w:val="-2"/>
        </w:rPr>
        <w:t>Papers</w:t>
      </w:r>
      <w:r>
        <w:rPr>
          <w:spacing w:val="-12"/>
        </w:rPr>
        <w:t xml:space="preserve"> </w:t>
      </w:r>
      <w:r>
        <w:rPr>
          <w:spacing w:val="-2"/>
        </w:rPr>
        <w:t>No.</w:t>
      </w:r>
      <w:r>
        <w:rPr>
          <w:spacing w:val="-13"/>
        </w:rPr>
        <w:t xml:space="preserve"> </w:t>
      </w:r>
      <w:r>
        <w:rPr>
          <w:spacing w:val="-2"/>
        </w:rPr>
        <w:t>128,</w:t>
      </w:r>
      <w:r>
        <w:rPr>
          <w:spacing w:val="-13"/>
        </w:rPr>
        <w:t xml:space="preserve"> </w:t>
      </w:r>
      <w:r>
        <w:rPr>
          <w:spacing w:val="-2"/>
        </w:rPr>
        <w:t>February,</w:t>
      </w:r>
      <w:r>
        <w:rPr>
          <w:spacing w:val="-13"/>
        </w:rPr>
        <w:t xml:space="preserve"> </w:t>
      </w:r>
      <w:hyperlink r:id="rId11">
        <w:r w:rsidR="00C67C54">
          <w:rPr>
            <w:color w:val="0000FF"/>
            <w:spacing w:val="-2"/>
            <w:u w:val="single" w:color="0000FF"/>
          </w:rPr>
          <w:t>https://doi.org/10.1093/cesifo/49.2.181</w:t>
        </w:r>
      </w:hyperlink>
    </w:p>
    <w:p w14:paraId="35B2FD88" w14:textId="77777777" w:rsidR="00C67C54" w:rsidRDefault="00000000">
      <w:pPr>
        <w:pStyle w:val="Corpsdetexte"/>
        <w:spacing w:line="367" w:lineRule="auto"/>
        <w:ind w:left="568" w:right="138" w:hanging="568"/>
        <w:jc w:val="both"/>
      </w:pPr>
      <w:r>
        <w:rPr>
          <w:spacing w:val="-4"/>
        </w:rPr>
        <w:t>Borio,</w:t>
      </w:r>
      <w:r>
        <w:rPr>
          <w:spacing w:val="-6"/>
        </w:rPr>
        <w:t xml:space="preserve"> </w:t>
      </w:r>
      <w:r>
        <w:rPr>
          <w:spacing w:val="-4"/>
        </w:rPr>
        <w:t>C.</w:t>
      </w:r>
      <w:r>
        <w:rPr>
          <w:spacing w:val="-9"/>
        </w:rPr>
        <w:t xml:space="preserve"> </w:t>
      </w:r>
      <w:r>
        <w:rPr>
          <w:spacing w:val="-4"/>
        </w:rPr>
        <w:t>(2014a),</w:t>
      </w:r>
      <w:r>
        <w:rPr>
          <w:spacing w:val="-6"/>
        </w:rPr>
        <w:t xml:space="preserve"> </w:t>
      </w:r>
      <w:r>
        <w:rPr>
          <w:spacing w:val="-4"/>
        </w:rPr>
        <w:t>“The</w:t>
      </w:r>
      <w:r>
        <w:rPr>
          <w:spacing w:val="-6"/>
        </w:rPr>
        <w:t xml:space="preserve"> </w:t>
      </w:r>
      <w:r>
        <w:rPr>
          <w:spacing w:val="-4"/>
        </w:rPr>
        <w:t>Financial</w:t>
      </w:r>
      <w:r>
        <w:rPr>
          <w:spacing w:val="-6"/>
        </w:rPr>
        <w:t xml:space="preserve"> </w:t>
      </w:r>
      <w:r>
        <w:rPr>
          <w:spacing w:val="-4"/>
        </w:rPr>
        <w:t>Cycle</w:t>
      </w:r>
      <w:r>
        <w:rPr>
          <w:spacing w:val="-6"/>
        </w:rPr>
        <w:t xml:space="preserve"> </w:t>
      </w:r>
      <w:r>
        <w:rPr>
          <w:spacing w:val="-4"/>
        </w:rPr>
        <w:t>and</w:t>
      </w:r>
      <w:r>
        <w:rPr>
          <w:spacing w:val="-6"/>
        </w:rPr>
        <w:t xml:space="preserve"> </w:t>
      </w:r>
      <w:r>
        <w:rPr>
          <w:spacing w:val="-4"/>
        </w:rPr>
        <w:t>Macroeconomics:</w:t>
      </w:r>
      <w:r>
        <w:rPr>
          <w:spacing w:val="-5"/>
        </w:rPr>
        <w:t xml:space="preserve"> </w:t>
      </w:r>
      <w:r>
        <w:rPr>
          <w:spacing w:val="-4"/>
        </w:rPr>
        <w:t>what</w:t>
      </w:r>
      <w:r>
        <w:rPr>
          <w:spacing w:val="-6"/>
        </w:rPr>
        <w:t xml:space="preserve"> </w:t>
      </w:r>
      <w:r>
        <w:rPr>
          <w:spacing w:val="-4"/>
        </w:rPr>
        <w:t>Have</w:t>
      </w:r>
      <w:r>
        <w:rPr>
          <w:spacing w:val="-6"/>
        </w:rPr>
        <w:t xml:space="preserve"> </w:t>
      </w:r>
      <w:r>
        <w:rPr>
          <w:spacing w:val="-4"/>
        </w:rPr>
        <w:t>we</w:t>
      </w:r>
      <w:r>
        <w:rPr>
          <w:spacing w:val="-7"/>
        </w:rPr>
        <w:t xml:space="preserve"> </w:t>
      </w:r>
      <w:r>
        <w:rPr>
          <w:spacing w:val="-4"/>
        </w:rPr>
        <w:t>Learnt?”</w:t>
      </w:r>
      <w:r>
        <w:rPr>
          <w:i/>
          <w:spacing w:val="-4"/>
          <w:sz w:val="23"/>
        </w:rPr>
        <w:t>,</w:t>
      </w:r>
      <w:r>
        <w:rPr>
          <w:i/>
          <w:spacing w:val="-9"/>
          <w:sz w:val="23"/>
        </w:rPr>
        <w:t xml:space="preserve"> </w:t>
      </w:r>
      <w:r>
        <w:rPr>
          <w:i/>
          <w:spacing w:val="-4"/>
          <w:sz w:val="23"/>
        </w:rPr>
        <w:t>Journal</w:t>
      </w:r>
      <w:r>
        <w:rPr>
          <w:i/>
          <w:spacing w:val="-9"/>
          <w:sz w:val="23"/>
        </w:rPr>
        <w:t xml:space="preserve"> </w:t>
      </w:r>
      <w:r>
        <w:rPr>
          <w:i/>
          <w:spacing w:val="-4"/>
          <w:sz w:val="23"/>
        </w:rPr>
        <w:t xml:space="preserve">of </w:t>
      </w:r>
      <w:r>
        <w:rPr>
          <w:i/>
          <w:sz w:val="23"/>
        </w:rPr>
        <w:t>Banking</w:t>
      </w:r>
      <w:r>
        <w:rPr>
          <w:i/>
          <w:spacing w:val="-6"/>
          <w:sz w:val="23"/>
        </w:rPr>
        <w:t xml:space="preserve"> </w:t>
      </w:r>
      <w:r>
        <w:rPr>
          <w:i/>
          <w:sz w:val="23"/>
        </w:rPr>
        <w:t>&amp;</w:t>
      </w:r>
      <w:r>
        <w:rPr>
          <w:i/>
          <w:spacing w:val="-8"/>
          <w:sz w:val="23"/>
        </w:rPr>
        <w:t xml:space="preserve"> </w:t>
      </w:r>
      <w:r>
        <w:rPr>
          <w:i/>
          <w:sz w:val="23"/>
        </w:rPr>
        <w:t>Finance</w:t>
      </w:r>
      <w:r>
        <w:t>,</w:t>
      </w:r>
      <w:r>
        <w:rPr>
          <w:spacing w:val="-4"/>
        </w:rPr>
        <w:t xml:space="preserve"> </w:t>
      </w:r>
      <w:r>
        <w:t>45,</w:t>
      </w:r>
      <w:r>
        <w:rPr>
          <w:spacing w:val="-4"/>
        </w:rPr>
        <w:t xml:space="preserve"> </w:t>
      </w:r>
      <w:r>
        <w:t>August,</w:t>
      </w:r>
      <w:r>
        <w:rPr>
          <w:spacing w:val="-4"/>
        </w:rPr>
        <w:t xml:space="preserve"> </w:t>
      </w:r>
      <w:r>
        <w:t>182-98.</w:t>
      </w:r>
      <w:r>
        <w:rPr>
          <w:spacing w:val="-4"/>
        </w:rPr>
        <w:t xml:space="preserve"> </w:t>
      </w:r>
      <w:r>
        <w:t>Also</w:t>
      </w:r>
      <w:r>
        <w:rPr>
          <w:spacing w:val="-4"/>
        </w:rPr>
        <w:t xml:space="preserve"> </w:t>
      </w:r>
      <w:r>
        <w:t>available</w:t>
      </w:r>
      <w:r>
        <w:rPr>
          <w:spacing w:val="-4"/>
        </w:rPr>
        <w:t xml:space="preserve"> </w:t>
      </w:r>
      <w:r>
        <w:t>as</w:t>
      </w:r>
      <w:r>
        <w:rPr>
          <w:spacing w:val="-4"/>
        </w:rPr>
        <w:t xml:space="preserve"> </w:t>
      </w:r>
      <w:r>
        <w:t>BIS</w:t>
      </w:r>
      <w:r>
        <w:rPr>
          <w:spacing w:val="-4"/>
        </w:rPr>
        <w:t xml:space="preserve"> </w:t>
      </w:r>
      <w:r>
        <w:t>Working</w:t>
      </w:r>
      <w:r>
        <w:rPr>
          <w:spacing w:val="-4"/>
        </w:rPr>
        <w:t xml:space="preserve"> </w:t>
      </w:r>
      <w:r>
        <w:t>Papers</w:t>
      </w:r>
      <w:r>
        <w:rPr>
          <w:spacing w:val="-4"/>
        </w:rPr>
        <w:t xml:space="preserve"> </w:t>
      </w:r>
      <w:r>
        <w:t>No.</w:t>
      </w:r>
      <w:r>
        <w:rPr>
          <w:spacing w:val="-4"/>
        </w:rPr>
        <w:t xml:space="preserve"> </w:t>
      </w:r>
      <w:r>
        <w:t xml:space="preserve">395, </w:t>
      </w:r>
      <w:r>
        <w:rPr>
          <w:spacing w:val="-2"/>
        </w:rPr>
        <w:t>December</w:t>
      </w:r>
      <w:r>
        <w:rPr>
          <w:spacing w:val="-13"/>
        </w:rPr>
        <w:t xml:space="preserve"> </w:t>
      </w:r>
      <w:r>
        <w:rPr>
          <w:spacing w:val="-2"/>
        </w:rPr>
        <w:t>2012,</w:t>
      </w:r>
      <w:r>
        <w:rPr>
          <w:spacing w:val="-12"/>
        </w:rPr>
        <w:t xml:space="preserve"> </w:t>
      </w:r>
      <w:hyperlink r:id="rId12">
        <w:r w:rsidR="00C67C54">
          <w:rPr>
            <w:color w:val="0000FF"/>
            <w:spacing w:val="-2"/>
            <w:u w:val="single" w:color="0000FF"/>
          </w:rPr>
          <w:t>https://doi.org/10.1016/j.jbankfin.2013.07.031</w:t>
        </w:r>
      </w:hyperlink>
    </w:p>
    <w:p w14:paraId="2EB518A2" w14:textId="77777777" w:rsidR="00C67C54" w:rsidRDefault="00000000">
      <w:pPr>
        <w:pStyle w:val="Corpsdetexte"/>
        <w:tabs>
          <w:tab w:val="left" w:pos="1409"/>
          <w:tab w:val="left" w:pos="2673"/>
          <w:tab w:val="left" w:pos="3227"/>
          <w:tab w:val="left" w:pos="4289"/>
          <w:tab w:val="left" w:pos="5233"/>
          <w:tab w:val="left" w:pos="6056"/>
          <w:tab w:val="left" w:pos="6744"/>
          <w:tab w:val="left" w:pos="7454"/>
        </w:tabs>
        <w:spacing w:before="14" w:line="379" w:lineRule="auto"/>
        <w:ind w:left="1" w:right="137"/>
        <w:jc w:val="right"/>
      </w:pPr>
      <w:r>
        <w:t>Borio,</w:t>
      </w:r>
      <w:r>
        <w:rPr>
          <w:spacing w:val="34"/>
        </w:rPr>
        <w:t xml:space="preserve"> </w:t>
      </w:r>
      <w:r>
        <w:t>C.</w:t>
      </w:r>
      <w:r>
        <w:rPr>
          <w:spacing w:val="34"/>
        </w:rPr>
        <w:t xml:space="preserve"> </w:t>
      </w:r>
      <w:r>
        <w:t>(2014b),</w:t>
      </w:r>
      <w:r>
        <w:rPr>
          <w:spacing w:val="34"/>
        </w:rPr>
        <w:t xml:space="preserve"> </w:t>
      </w:r>
      <w:r>
        <w:t>“Monetary</w:t>
      </w:r>
      <w:r>
        <w:rPr>
          <w:spacing w:val="34"/>
        </w:rPr>
        <w:t xml:space="preserve"> </w:t>
      </w:r>
      <w:r>
        <w:t>Policy</w:t>
      </w:r>
      <w:r>
        <w:rPr>
          <w:spacing w:val="35"/>
        </w:rPr>
        <w:t xml:space="preserve"> </w:t>
      </w:r>
      <w:r>
        <w:t>and</w:t>
      </w:r>
      <w:r>
        <w:rPr>
          <w:spacing w:val="34"/>
        </w:rPr>
        <w:t xml:space="preserve"> </w:t>
      </w:r>
      <w:r>
        <w:t>Financial</w:t>
      </w:r>
      <w:r>
        <w:rPr>
          <w:spacing w:val="34"/>
        </w:rPr>
        <w:t xml:space="preserve"> </w:t>
      </w:r>
      <w:r>
        <w:t>Stability:</w:t>
      </w:r>
      <w:r>
        <w:rPr>
          <w:spacing w:val="32"/>
        </w:rPr>
        <w:t xml:space="preserve"> </w:t>
      </w:r>
      <w:r>
        <w:t>What</w:t>
      </w:r>
      <w:r>
        <w:rPr>
          <w:spacing w:val="35"/>
        </w:rPr>
        <w:t xml:space="preserve"> </w:t>
      </w:r>
      <w:r>
        <w:t>Role</w:t>
      </w:r>
      <w:r>
        <w:rPr>
          <w:spacing w:val="34"/>
        </w:rPr>
        <w:t xml:space="preserve"> </w:t>
      </w:r>
      <w:r>
        <w:t>in</w:t>
      </w:r>
      <w:r>
        <w:rPr>
          <w:spacing w:val="34"/>
        </w:rPr>
        <w:t xml:space="preserve"> </w:t>
      </w:r>
      <w:r>
        <w:t>Prevention</w:t>
      </w:r>
      <w:r>
        <w:rPr>
          <w:spacing w:val="34"/>
        </w:rPr>
        <w:t xml:space="preserve"> </w:t>
      </w:r>
      <w:r>
        <w:t xml:space="preserve">and </w:t>
      </w:r>
      <w:r>
        <w:rPr>
          <w:spacing w:val="-2"/>
        </w:rPr>
        <w:t>Recovery?”,</w:t>
      </w:r>
      <w:r>
        <w:rPr>
          <w:spacing w:val="-19"/>
        </w:rPr>
        <w:t xml:space="preserve"> </w:t>
      </w:r>
      <w:r>
        <w:rPr>
          <w:spacing w:val="-2"/>
        </w:rPr>
        <w:t>BIS</w:t>
      </w:r>
      <w:r>
        <w:rPr>
          <w:spacing w:val="-19"/>
        </w:rPr>
        <w:t xml:space="preserve"> </w:t>
      </w:r>
      <w:r>
        <w:rPr>
          <w:spacing w:val="-2"/>
        </w:rPr>
        <w:t>Working</w:t>
      </w:r>
      <w:r>
        <w:rPr>
          <w:spacing w:val="-18"/>
        </w:rPr>
        <w:t xml:space="preserve"> </w:t>
      </w:r>
      <w:r>
        <w:rPr>
          <w:spacing w:val="-2"/>
        </w:rPr>
        <w:t>Papers</w:t>
      </w:r>
      <w:r>
        <w:rPr>
          <w:spacing w:val="-19"/>
        </w:rPr>
        <w:t xml:space="preserve"> </w:t>
      </w:r>
      <w:r>
        <w:rPr>
          <w:spacing w:val="-2"/>
        </w:rPr>
        <w:t>No.</w:t>
      </w:r>
      <w:r>
        <w:rPr>
          <w:spacing w:val="-19"/>
        </w:rPr>
        <w:t xml:space="preserve"> </w:t>
      </w:r>
      <w:r>
        <w:rPr>
          <w:spacing w:val="-2"/>
        </w:rPr>
        <w:t>440,</w:t>
      </w:r>
      <w:r>
        <w:rPr>
          <w:spacing w:val="-19"/>
        </w:rPr>
        <w:t xml:space="preserve"> </w:t>
      </w:r>
      <w:r>
        <w:rPr>
          <w:spacing w:val="-2"/>
        </w:rPr>
        <w:t>January,</w:t>
      </w:r>
      <w:r>
        <w:rPr>
          <w:spacing w:val="-19"/>
        </w:rPr>
        <w:t xml:space="preserve"> </w:t>
      </w:r>
      <w:hyperlink r:id="rId13">
        <w:r w:rsidR="00C67C54">
          <w:rPr>
            <w:color w:val="0000FF"/>
            <w:spacing w:val="-2"/>
            <w:u w:val="single" w:color="0000FF"/>
          </w:rPr>
          <w:t>https://www.bis.org/publ/work440.pdf</w:t>
        </w:r>
      </w:hyperlink>
      <w:r>
        <w:rPr>
          <w:color w:val="0000FF"/>
          <w:spacing w:val="-2"/>
        </w:rPr>
        <w:t xml:space="preserve"> </w:t>
      </w:r>
      <w:r>
        <w:t>Borio,</w:t>
      </w:r>
      <w:r>
        <w:rPr>
          <w:spacing w:val="13"/>
        </w:rPr>
        <w:t xml:space="preserve"> </w:t>
      </w:r>
      <w:r>
        <w:t>C.</w:t>
      </w:r>
      <w:r>
        <w:rPr>
          <w:spacing w:val="-14"/>
        </w:rPr>
        <w:t xml:space="preserve"> </w:t>
      </w:r>
      <w:r>
        <w:t>(2019),</w:t>
      </w:r>
      <w:r>
        <w:rPr>
          <w:spacing w:val="21"/>
        </w:rPr>
        <w:t xml:space="preserve"> </w:t>
      </w:r>
      <w:r>
        <w:t>“Central</w:t>
      </w:r>
      <w:r>
        <w:rPr>
          <w:spacing w:val="20"/>
        </w:rPr>
        <w:t xml:space="preserve"> </w:t>
      </w:r>
      <w:r>
        <w:t>Banking</w:t>
      </w:r>
      <w:r>
        <w:rPr>
          <w:spacing w:val="19"/>
        </w:rPr>
        <w:t xml:space="preserve"> </w:t>
      </w:r>
      <w:r>
        <w:t>in</w:t>
      </w:r>
      <w:r>
        <w:rPr>
          <w:spacing w:val="20"/>
        </w:rPr>
        <w:t xml:space="preserve"> </w:t>
      </w:r>
      <w:r>
        <w:t>Challenging</w:t>
      </w:r>
      <w:r>
        <w:rPr>
          <w:spacing w:val="20"/>
        </w:rPr>
        <w:t xml:space="preserve"> </w:t>
      </w:r>
      <w:r>
        <w:t>Times”,</w:t>
      </w:r>
      <w:r>
        <w:rPr>
          <w:spacing w:val="19"/>
        </w:rPr>
        <w:t xml:space="preserve"> </w:t>
      </w:r>
      <w:r>
        <w:t>SUERF</w:t>
      </w:r>
      <w:r>
        <w:rPr>
          <w:spacing w:val="20"/>
        </w:rPr>
        <w:t xml:space="preserve"> </w:t>
      </w:r>
      <w:r>
        <w:t>Annual</w:t>
      </w:r>
      <w:r>
        <w:rPr>
          <w:spacing w:val="20"/>
        </w:rPr>
        <w:t xml:space="preserve"> </w:t>
      </w:r>
      <w:r>
        <w:t>Lecture,</w:t>
      </w:r>
      <w:r>
        <w:rPr>
          <w:spacing w:val="20"/>
        </w:rPr>
        <w:t xml:space="preserve"> </w:t>
      </w:r>
      <w:r>
        <w:t>Milan,</w:t>
      </w:r>
      <w:r>
        <w:rPr>
          <w:spacing w:val="18"/>
        </w:rPr>
        <w:t xml:space="preserve"> </w:t>
      </w:r>
      <w:r>
        <w:t xml:space="preserve">8 </w:t>
      </w:r>
      <w:r>
        <w:rPr>
          <w:spacing w:val="-2"/>
        </w:rPr>
        <w:t>November;</w:t>
      </w:r>
      <w:r>
        <w:tab/>
      </w:r>
      <w:r>
        <w:rPr>
          <w:spacing w:val="-2"/>
        </w:rPr>
        <w:t>reprinted</w:t>
      </w:r>
      <w:r>
        <w:tab/>
      </w:r>
      <w:r>
        <w:rPr>
          <w:spacing w:val="-6"/>
        </w:rPr>
        <w:t>as</w:t>
      </w:r>
      <w:r>
        <w:tab/>
      </w:r>
      <w:r>
        <w:rPr>
          <w:spacing w:val="-2"/>
        </w:rPr>
        <w:t>SUERF</w:t>
      </w:r>
      <w:r>
        <w:tab/>
      </w:r>
      <w:r>
        <w:rPr>
          <w:spacing w:val="-2"/>
        </w:rPr>
        <w:t>Policy</w:t>
      </w:r>
      <w:r>
        <w:tab/>
      </w:r>
      <w:r>
        <w:rPr>
          <w:spacing w:val="-4"/>
        </w:rPr>
        <w:t>Note</w:t>
      </w:r>
      <w:r>
        <w:tab/>
      </w:r>
      <w:r>
        <w:rPr>
          <w:spacing w:val="-4"/>
        </w:rPr>
        <w:t>No.</w:t>
      </w:r>
      <w:r>
        <w:tab/>
      </w:r>
      <w:r>
        <w:rPr>
          <w:spacing w:val="-4"/>
        </w:rPr>
        <w:t>114,</w:t>
      </w:r>
      <w:r>
        <w:tab/>
      </w:r>
      <w:r>
        <w:rPr>
          <w:spacing w:val="-2"/>
        </w:rPr>
        <w:t>November,</w:t>
      </w:r>
    </w:p>
    <w:p w14:paraId="747ECA9A" w14:textId="77777777" w:rsidR="00C67C54" w:rsidRDefault="00C67C54">
      <w:pPr>
        <w:pStyle w:val="Corpsdetexte"/>
        <w:tabs>
          <w:tab w:val="left" w:pos="2697"/>
        </w:tabs>
        <w:spacing w:before="4" w:line="379" w:lineRule="auto"/>
        <w:ind w:left="569" w:right="139"/>
      </w:pPr>
      <w:hyperlink r:id="rId14">
        <w:r>
          <w:rPr>
            <w:color w:val="0000FF"/>
            <w:spacing w:val="-2"/>
            <w:u w:val="single" w:color="0000FF"/>
          </w:rPr>
          <w:t>https://www.suerf.org/publications/suerf-policy-notes-and-briefs/central-banking-in-challenging-times/</w:t>
        </w:r>
      </w:hyperlink>
      <w:r w:rsidR="00000000">
        <w:rPr>
          <w:color w:val="0000FF"/>
        </w:rPr>
        <w:tab/>
      </w:r>
      <w:r w:rsidR="00000000">
        <w:t>Also</w:t>
      </w:r>
      <w:r w:rsidR="00000000">
        <w:rPr>
          <w:spacing w:val="80"/>
        </w:rPr>
        <w:t xml:space="preserve"> </w:t>
      </w:r>
      <w:r w:rsidR="00000000">
        <w:t>available</w:t>
      </w:r>
      <w:r w:rsidR="00000000">
        <w:rPr>
          <w:spacing w:val="80"/>
        </w:rPr>
        <w:t xml:space="preserve"> </w:t>
      </w:r>
      <w:r w:rsidR="00000000">
        <w:t>as</w:t>
      </w:r>
      <w:r w:rsidR="00000000">
        <w:rPr>
          <w:spacing w:val="80"/>
        </w:rPr>
        <w:t xml:space="preserve"> </w:t>
      </w:r>
      <w:r w:rsidR="00000000">
        <w:t>BIS</w:t>
      </w:r>
      <w:r w:rsidR="00000000">
        <w:rPr>
          <w:spacing w:val="80"/>
        </w:rPr>
        <w:t xml:space="preserve"> </w:t>
      </w:r>
      <w:r w:rsidR="00000000">
        <w:t>Working</w:t>
      </w:r>
      <w:r w:rsidR="00000000">
        <w:rPr>
          <w:spacing w:val="80"/>
        </w:rPr>
        <w:t xml:space="preserve"> </w:t>
      </w:r>
      <w:r w:rsidR="00000000">
        <w:t>Papers</w:t>
      </w:r>
      <w:r w:rsidR="00000000">
        <w:rPr>
          <w:spacing w:val="80"/>
        </w:rPr>
        <w:t xml:space="preserve"> </w:t>
      </w:r>
      <w:r w:rsidR="00000000">
        <w:t>No.</w:t>
      </w:r>
      <w:r w:rsidR="00000000">
        <w:rPr>
          <w:spacing w:val="80"/>
        </w:rPr>
        <w:t xml:space="preserve"> </w:t>
      </w:r>
      <w:r w:rsidR="00000000">
        <w:t>829,</w:t>
      </w:r>
      <w:r w:rsidR="00000000">
        <w:rPr>
          <w:spacing w:val="80"/>
        </w:rPr>
        <w:t xml:space="preserve"> </w:t>
      </w:r>
      <w:r w:rsidR="00000000">
        <w:t xml:space="preserve">December, </w:t>
      </w:r>
      <w:hyperlink r:id="rId15">
        <w:r>
          <w:rPr>
            <w:color w:val="0000FF"/>
            <w:spacing w:val="-2"/>
            <w:u w:val="single" w:color="0000FF"/>
          </w:rPr>
          <w:t>https://www.bis.org/publ/work829.htm</w:t>
        </w:r>
      </w:hyperlink>
    </w:p>
    <w:p w14:paraId="3F2F6849" w14:textId="77777777" w:rsidR="00C67C54" w:rsidRDefault="00000000">
      <w:pPr>
        <w:pStyle w:val="Corpsdetexte"/>
        <w:spacing w:before="3" w:line="379" w:lineRule="auto"/>
        <w:ind w:left="569" w:right="137" w:hanging="568"/>
        <w:jc w:val="both"/>
      </w:pPr>
      <w:r>
        <w:rPr>
          <w:spacing w:val="-2"/>
        </w:rPr>
        <w:t>Borio,</w:t>
      </w:r>
      <w:r>
        <w:rPr>
          <w:spacing w:val="-12"/>
        </w:rPr>
        <w:t xml:space="preserve"> </w:t>
      </w:r>
      <w:r>
        <w:rPr>
          <w:spacing w:val="-2"/>
        </w:rPr>
        <w:t>C.</w:t>
      </w:r>
      <w:r>
        <w:rPr>
          <w:spacing w:val="-11"/>
        </w:rPr>
        <w:t xml:space="preserve"> </w:t>
      </w:r>
      <w:r>
        <w:rPr>
          <w:spacing w:val="-2"/>
        </w:rPr>
        <w:t>(2021a),</w:t>
      </w:r>
      <w:r>
        <w:rPr>
          <w:spacing w:val="-11"/>
        </w:rPr>
        <w:t xml:space="preserve"> </w:t>
      </w:r>
      <w:r>
        <w:rPr>
          <w:spacing w:val="-2"/>
        </w:rPr>
        <w:t>“Navigating</w:t>
      </w:r>
      <w:r>
        <w:rPr>
          <w:spacing w:val="-12"/>
        </w:rPr>
        <w:t xml:space="preserve"> </w:t>
      </w:r>
      <w:r>
        <w:rPr>
          <w:spacing w:val="-2"/>
        </w:rPr>
        <w:t>by</w:t>
      </w:r>
      <w:r>
        <w:rPr>
          <w:spacing w:val="-11"/>
        </w:rPr>
        <w:t xml:space="preserve"> </w:t>
      </w:r>
      <w:r>
        <w:rPr>
          <w:spacing w:val="-2"/>
        </w:rPr>
        <w:t>r*:</w:t>
      </w:r>
      <w:r>
        <w:rPr>
          <w:spacing w:val="-11"/>
        </w:rPr>
        <w:t xml:space="preserve"> </w:t>
      </w:r>
      <w:r>
        <w:rPr>
          <w:spacing w:val="-2"/>
        </w:rPr>
        <w:t>Safe</w:t>
      </w:r>
      <w:r>
        <w:rPr>
          <w:spacing w:val="-11"/>
        </w:rPr>
        <w:t xml:space="preserve"> </w:t>
      </w:r>
      <w:r>
        <w:rPr>
          <w:spacing w:val="-2"/>
        </w:rPr>
        <w:t>or</w:t>
      </w:r>
      <w:r>
        <w:rPr>
          <w:spacing w:val="-12"/>
        </w:rPr>
        <w:t xml:space="preserve"> </w:t>
      </w:r>
      <w:r>
        <w:rPr>
          <w:spacing w:val="-2"/>
        </w:rPr>
        <w:t>Hazardous?”,</w:t>
      </w:r>
      <w:r>
        <w:rPr>
          <w:spacing w:val="-11"/>
        </w:rPr>
        <w:t xml:space="preserve"> </w:t>
      </w:r>
      <w:r>
        <w:rPr>
          <w:spacing w:val="-2"/>
        </w:rPr>
        <w:t>Keynote</w:t>
      </w:r>
      <w:r>
        <w:rPr>
          <w:spacing w:val="-11"/>
        </w:rPr>
        <w:t xml:space="preserve"> </w:t>
      </w:r>
      <w:r>
        <w:rPr>
          <w:spacing w:val="-2"/>
        </w:rPr>
        <w:t>Address</w:t>
      </w:r>
      <w:r>
        <w:rPr>
          <w:spacing w:val="-11"/>
        </w:rPr>
        <w:t xml:space="preserve"> </w:t>
      </w:r>
      <w:r>
        <w:rPr>
          <w:spacing w:val="-2"/>
        </w:rPr>
        <w:t>Reprinted</w:t>
      </w:r>
      <w:r>
        <w:rPr>
          <w:spacing w:val="-12"/>
        </w:rPr>
        <w:t xml:space="preserve"> </w:t>
      </w:r>
      <w:r>
        <w:rPr>
          <w:spacing w:val="-2"/>
        </w:rPr>
        <w:t>as</w:t>
      </w:r>
      <w:r>
        <w:rPr>
          <w:spacing w:val="-11"/>
        </w:rPr>
        <w:t xml:space="preserve"> </w:t>
      </w:r>
      <w:r>
        <w:rPr>
          <w:spacing w:val="-2"/>
        </w:rPr>
        <w:t xml:space="preserve">SUERF Policy Note No. 255, September, </w:t>
      </w:r>
      <w:hyperlink r:id="rId16">
        <w:r w:rsidR="00C67C54">
          <w:rPr>
            <w:color w:val="0000FF"/>
            <w:spacing w:val="-2"/>
            <w:u w:val="single" w:color="0000FF"/>
          </w:rPr>
          <w:t>https://www.suerf.org/publications/suerf-policy-notes-and-briefs/navigating-by-r-safe-or-hazardous/</w:t>
        </w:r>
      </w:hyperlink>
      <w:r>
        <w:rPr>
          <w:color w:val="0000FF"/>
          <w:spacing w:val="40"/>
        </w:rPr>
        <w:t xml:space="preserve"> </w:t>
      </w:r>
      <w:r>
        <w:rPr>
          <w:spacing w:val="-2"/>
        </w:rPr>
        <w:t>Also</w:t>
      </w:r>
      <w:r>
        <w:rPr>
          <w:spacing w:val="-7"/>
        </w:rPr>
        <w:t xml:space="preserve"> </w:t>
      </w:r>
      <w:r>
        <w:rPr>
          <w:spacing w:val="-2"/>
        </w:rPr>
        <w:t>available</w:t>
      </w:r>
      <w:r>
        <w:rPr>
          <w:spacing w:val="-8"/>
        </w:rPr>
        <w:t xml:space="preserve"> </w:t>
      </w:r>
      <w:r>
        <w:rPr>
          <w:spacing w:val="-2"/>
        </w:rPr>
        <w:t>as</w:t>
      </w:r>
      <w:r>
        <w:rPr>
          <w:spacing w:val="-7"/>
        </w:rPr>
        <w:t xml:space="preserve"> </w:t>
      </w:r>
      <w:r>
        <w:rPr>
          <w:spacing w:val="-2"/>
        </w:rPr>
        <w:t>BIS</w:t>
      </w:r>
      <w:r>
        <w:rPr>
          <w:spacing w:val="-7"/>
        </w:rPr>
        <w:t xml:space="preserve"> </w:t>
      </w:r>
      <w:r>
        <w:rPr>
          <w:spacing w:val="-2"/>
        </w:rPr>
        <w:t>Working</w:t>
      </w:r>
      <w:r>
        <w:rPr>
          <w:spacing w:val="-7"/>
        </w:rPr>
        <w:t xml:space="preserve"> </w:t>
      </w:r>
      <w:r>
        <w:rPr>
          <w:spacing w:val="-2"/>
        </w:rPr>
        <w:t>Papers</w:t>
      </w:r>
      <w:r>
        <w:rPr>
          <w:spacing w:val="-7"/>
        </w:rPr>
        <w:t xml:space="preserve"> </w:t>
      </w:r>
      <w:r>
        <w:rPr>
          <w:spacing w:val="-2"/>
        </w:rPr>
        <w:t xml:space="preserve">No. 982, November, </w:t>
      </w:r>
      <w:hyperlink r:id="rId17">
        <w:r w:rsidR="00C67C54">
          <w:rPr>
            <w:color w:val="0000FF"/>
            <w:spacing w:val="-2"/>
            <w:u w:val="single" w:color="0000FF"/>
          </w:rPr>
          <w:t>https://www.bis.org/publ/work982.htm</w:t>
        </w:r>
      </w:hyperlink>
    </w:p>
    <w:p w14:paraId="18C0998E" w14:textId="77777777" w:rsidR="00C67C54" w:rsidRDefault="00000000">
      <w:pPr>
        <w:pStyle w:val="Corpsdetexte"/>
        <w:spacing w:before="4" w:line="372" w:lineRule="auto"/>
        <w:ind w:left="569" w:right="137" w:hanging="568"/>
        <w:jc w:val="both"/>
      </w:pPr>
      <w:r>
        <w:rPr>
          <w:spacing w:val="-2"/>
        </w:rPr>
        <w:t>Borio,</w:t>
      </w:r>
      <w:r>
        <w:rPr>
          <w:spacing w:val="-12"/>
        </w:rPr>
        <w:t xml:space="preserve"> </w:t>
      </w:r>
      <w:r>
        <w:rPr>
          <w:spacing w:val="-2"/>
        </w:rPr>
        <w:t>C.</w:t>
      </w:r>
      <w:r>
        <w:rPr>
          <w:spacing w:val="-11"/>
        </w:rPr>
        <w:t xml:space="preserve"> </w:t>
      </w:r>
      <w:r>
        <w:rPr>
          <w:spacing w:val="-2"/>
        </w:rPr>
        <w:t>(2021b),</w:t>
      </w:r>
      <w:r>
        <w:rPr>
          <w:spacing w:val="-11"/>
        </w:rPr>
        <w:t xml:space="preserve"> </w:t>
      </w:r>
      <w:r>
        <w:rPr>
          <w:spacing w:val="-2"/>
        </w:rPr>
        <w:t>“Back</w:t>
      </w:r>
      <w:r>
        <w:rPr>
          <w:spacing w:val="-12"/>
        </w:rPr>
        <w:t xml:space="preserve"> </w:t>
      </w:r>
      <w:r>
        <w:rPr>
          <w:spacing w:val="-2"/>
        </w:rPr>
        <w:t>to</w:t>
      </w:r>
      <w:r>
        <w:rPr>
          <w:spacing w:val="-11"/>
        </w:rPr>
        <w:t xml:space="preserve"> </w:t>
      </w:r>
      <w:r>
        <w:rPr>
          <w:spacing w:val="-2"/>
        </w:rPr>
        <w:t>the</w:t>
      </w:r>
      <w:r>
        <w:rPr>
          <w:spacing w:val="-11"/>
        </w:rPr>
        <w:t xml:space="preserve"> </w:t>
      </w:r>
      <w:r>
        <w:rPr>
          <w:spacing w:val="-2"/>
        </w:rPr>
        <w:t>Future:</w:t>
      </w:r>
      <w:r>
        <w:rPr>
          <w:spacing w:val="-11"/>
        </w:rPr>
        <w:t xml:space="preserve"> </w:t>
      </w:r>
      <w:r>
        <w:rPr>
          <w:spacing w:val="-2"/>
        </w:rPr>
        <w:t>Intellectual</w:t>
      </w:r>
      <w:r>
        <w:rPr>
          <w:spacing w:val="-12"/>
        </w:rPr>
        <w:t xml:space="preserve"> </w:t>
      </w:r>
      <w:r>
        <w:rPr>
          <w:spacing w:val="-2"/>
        </w:rPr>
        <w:t>Challenges</w:t>
      </w:r>
      <w:r>
        <w:rPr>
          <w:spacing w:val="-11"/>
        </w:rPr>
        <w:t xml:space="preserve"> </w:t>
      </w:r>
      <w:r>
        <w:rPr>
          <w:spacing w:val="-2"/>
        </w:rPr>
        <w:t>for</w:t>
      </w:r>
      <w:r>
        <w:rPr>
          <w:spacing w:val="-11"/>
        </w:rPr>
        <w:t xml:space="preserve"> </w:t>
      </w:r>
      <w:r>
        <w:rPr>
          <w:spacing w:val="-2"/>
        </w:rPr>
        <w:t>Monetary</w:t>
      </w:r>
      <w:r>
        <w:rPr>
          <w:spacing w:val="-11"/>
        </w:rPr>
        <w:t xml:space="preserve"> </w:t>
      </w:r>
      <w:r>
        <w:rPr>
          <w:spacing w:val="-2"/>
        </w:rPr>
        <w:t>Policy”,</w:t>
      </w:r>
      <w:r>
        <w:rPr>
          <w:spacing w:val="-12"/>
        </w:rPr>
        <w:t xml:space="preserve"> </w:t>
      </w:r>
      <w:r>
        <w:rPr>
          <w:spacing w:val="-2"/>
        </w:rPr>
        <w:t>David</w:t>
      </w:r>
      <w:r>
        <w:rPr>
          <w:spacing w:val="-11"/>
        </w:rPr>
        <w:t xml:space="preserve"> </w:t>
      </w:r>
      <w:r>
        <w:rPr>
          <w:spacing w:val="-2"/>
        </w:rPr>
        <w:t xml:space="preserve">Finch </w:t>
      </w:r>
      <w:r>
        <w:rPr>
          <w:spacing w:val="-4"/>
        </w:rPr>
        <w:t>Lecture,</w:t>
      </w:r>
      <w:r>
        <w:rPr>
          <w:spacing w:val="-11"/>
        </w:rPr>
        <w:t xml:space="preserve"> </w:t>
      </w:r>
      <w:r>
        <w:rPr>
          <w:spacing w:val="-4"/>
        </w:rPr>
        <w:t>University</w:t>
      </w:r>
      <w:r>
        <w:rPr>
          <w:spacing w:val="-13"/>
        </w:rPr>
        <w:t xml:space="preserve"> </w:t>
      </w:r>
      <w:r>
        <w:rPr>
          <w:spacing w:val="-4"/>
        </w:rPr>
        <w:t>of</w:t>
      </w:r>
      <w:r>
        <w:rPr>
          <w:spacing w:val="-13"/>
        </w:rPr>
        <w:t xml:space="preserve"> </w:t>
      </w:r>
      <w:r>
        <w:rPr>
          <w:spacing w:val="-4"/>
        </w:rPr>
        <w:t>Melbourne,</w:t>
      </w:r>
      <w:r>
        <w:rPr>
          <w:spacing w:val="-12"/>
        </w:rPr>
        <w:t xml:space="preserve"> </w:t>
      </w:r>
      <w:r>
        <w:rPr>
          <w:spacing w:val="-4"/>
        </w:rPr>
        <w:t>2</w:t>
      </w:r>
      <w:r>
        <w:rPr>
          <w:spacing w:val="-13"/>
        </w:rPr>
        <w:t xml:space="preserve"> </w:t>
      </w:r>
      <w:r>
        <w:rPr>
          <w:spacing w:val="-4"/>
        </w:rPr>
        <w:t>September;</w:t>
      </w:r>
      <w:r>
        <w:rPr>
          <w:spacing w:val="-13"/>
        </w:rPr>
        <w:t xml:space="preserve"> </w:t>
      </w:r>
      <w:r>
        <w:rPr>
          <w:spacing w:val="-4"/>
        </w:rPr>
        <w:t>reprinted</w:t>
      </w:r>
      <w:r>
        <w:rPr>
          <w:spacing w:val="-12"/>
        </w:rPr>
        <w:t xml:space="preserve"> </w:t>
      </w:r>
      <w:r>
        <w:rPr>
          <w:spacing w:val="-4"/>
        </w:rPr>
        <w:t>in</w:t>
      </w:r>
      <w:r>
        <w:rPr>
          <w:spacing w:val="-14"/>
        </w:rPr>
        <w:t xml:space="preserve"> </w:t>
      </w:r>
      <w:r>
        <w:rPr>
          <w:i/>
          <w:spacing w:val="-4"/>
          <w:sz w:val="23"/>
        </w:rPr>
        <w:t>Economic</w:t>
      </w:r>
      <w:r>
        <w:rPr>
          <w:i/>
          <w:spacing w:val="-15"/>
          <w:sz w:val="23"/>
        </w:rPr>
        <w:t xml:space="preserve"> </w:t>
      </w:r>
      <w:r>
        <w:rPr>
          <w:i/>
          <w:spacing w:val="-4"/>
          <w:sz w:val="23"/>
        </w:rPr>
        <w:t>Papers</w:t>
      </w:r>
      <w:r>
        <w:rPr>
          <w:spacing w:val="-4"/>
        </w:rPr>
        <w:t>,</w:t>
      </w:r>
      <w:r>
        <w:rPr>
          <w:spacing w:val="-13"/>
        </w:rPr>
        <w:t xml:space="preserve"> </w:t>
      </w:r>
      <w:r>
        <w:rPr>
          <w:spacing w:val="-4"/>
        </w:rPr>
        <w:t>40(4),</w:t>
      </w:r>
      <w:r>
        <w:rPr>
          <w:spacing w:val="-11"/>
        </w:rPr>
        <w:t xml:space="preserve"> </w:t>
      </w:r>
      <w:r>
        <w:rPr>
          <w:spacing w:val="-4"/>
        </w:rPr>
        <w:t>273-</w:t>
      </w:r>
    </w:p>
    <w:p w14:paraId="2FCF98AE" w14:textId="77777777" w:rsidR="00C67C54" w:rsidRDefault="00C67C54">
      <w:pPr>
        <w:pStyle w:val="Corpsdetexte"/>
        <w:spacing w:line="372" w:lineRule="auto"/>
        <w:jc w:val="both"/>
        <w:sectPr w:rsidR="00C67C54" w:rsidSect="00D73ABC">
          <w:pgSz w:w="11910" w:h="16840"/>
          <w:pgMar w:top="1276" w:right="1275" w:bottom="980" w:left="1417" w:header="0" w:footer="786" w:gutter="0"/>
          <w:cols w:space="720"/>
        </w:sectPr>
      </w:pPr>
    </w:p>
    <w:p w14:paraId="4A21189D" w14:textId="77777777" w:rsidR="00C67C54" w:rsidRDefault="00C67C54">
      <w:pPr>
        <w:pStyle w:val="Corpsdetexte"/>
        <w:spacing w:before="87"/>
      </w:pPr>
    </w:p>
    <w:p w14:paraId="72BA0ADC" w14:textId="77777777" w:rsidR="00C67C54" w:rsidRDefault="00000000">
      <w:pPr>
        <w:pStyle w:val="Corpsdetexte"/>
        <w:spacing w:line="379" w:lineRule="auto"/>
        <w:ind w:left="569" w:right="137"/>
        <w:jc w:val="both"/>
      </w:pPr>
      <w:r>
        <w:rPr>
          <w:spacing w:val="-6"/>
        </w:rPr>
        <w:t>287. Also available as BIS</w:t>
      </w:r>
      <w:r>
        <w:rPr>
          <w:spacing w:val="-8"/>
        </w:rPr>
        <w:t xml:space="preserve"> </w:t>
      </w:r>
      <w:r>
        <w:rPr>
          <w:spacing w:val="-6"/>
        </w:rPr>
        <w:t>Working Papers No. 981, November,</w:t>
      </w:r>
      <w:r>
        <w:rPr>
          <w:spacing w:val="-5"/>
        </w:rPr>
        <w:t xml:space="preserve"> </w:t>
      </w:r>
      <w:hyperlink r:id="rId18">
        <w:r w:rsidR="00C67C54">
          <w:rPr>
            <w:color w:val="0000FF"/>
            <w:spacing w:val="-6"/>
            <w:u w:val="single" w:color="0000FF"/>
          </w:rPr>
          <w:t>https://doi.org/10.1111/1759-</w:t>
        </w:r>
      </w:hyperlink>
      <w:r>
        <w:rPr>
          <w:color w:val="0000FF"/>
          <w:spacing w:val="-2"/>
          <w:u w:val="single" w:color="0000FF"/>
        </w:rPr>
        <w:t>3441.12331</w:t>
      </w:r>
    </w:p>
    <w:p w14:paraId="663F933B" w14:textId="77777777" w:rsidR="00C67C54" w:rsidRDefault="00000000">
      <w:pPr>
        <w:pStyle w:val="Corpsdetexte"/>
        <w:spacing w:before="2" w:line="379" w:lineRule="auto"/>
        <w:ind w:left="569" w:right="138" w:hanging="568"/>
        <w:jc w:val="both"/>
      </w:pPr>
      <w:r>
        <w:t>Borio, C.</w:t>
      </w:r>
      <w:r>
        <w:rPr>
          <w:spacing w:val="-14"/>
        </w:rPr>
        <w:t xml:space="preserve"> </w:t>
      </w:r>
      <w:r>
        <w:t xml:space="preserve">(2023), “Getting up from the Floor”, BIS Working Papers No. 1100, May, </w:t>
      </w:r>
      <w:hyperlink r:id="rId19">
        <w:r w:rsidR="00C67C54">
          <w:rPr>
            <w:color w:val="0000FF"/>
            <w:spacing w:val="-2"/>
            <w:u w:val="single" w:color="0000FF"/>
          </w:rPr>
          <w:t>https://www.bis.org/publ/work1100.htm</w:t>
        </w:r>
      </w:hyperlink>
    </w:p>
    <w:p w14:paraId="30001B45" w14:textId="77777777" w:rsidR="00C67C54" w:rsidRDefault="00000000">
      <w:pPr>
        <w:pStyle w:val="Corpsdetexte"/>
        <w:spacing w:before="2" w:line="379" w:lineRule="auto"/>
        <w:ind w:left="568" w:right="138" w:hanging="568"/>
        <w:jc w:val="both"/>
      </w:pPr>
      <w:r>
        <w:rPr>
          <w:spacing w:val="-4"/>
        </w:rPr>
        <w:t>Borio, C. (2024), “Whither Inflation Targeting as a</w:t>
      </w:r>
      <w:r>
        <w:rPr>
          <w:spacing w:val="-7"/>
        </w:rPr>
        <w:t xml:space="preserve"> </w:t>
      </w:r>
      <w:r>
        <w:rPr>
          <w:spacing w:val="-4"/>
        </w:rPr>
        <w:t xml:space="preserve">Global Monetary Standard?”, OMFIF Lecture, </w:t>
      </w:r>
      <w:r>
        <w:t>London,</w:t>
      </w:r>
      <w:r>
        <w:rPr>
          <w:spacing w:val="-5"/>
        </w:rPr>
        <w:t xml:space="preserve"> </w:t>
      </w:r>
      <w:r>
        <w:t>13</w:t>
      </w:r>
      <w:r>
        <w:rPr>
          <w:spacing w:val="-8"/>
        </w:rPr>
        <w:t xml:space="preserve"> </w:t>
      </w:r>
      <w:r>
        <w:t>November</w:t>
      </w:r>
      <w:r>
        <w:rPr>
          <w:spacing w:val="-5"/>
        </w:rPr>
        <w:t xml:space="preserve"> </w:t>
      </w:r>
      <w:r>
        <w:t>2024.</w:t>
      </w:r>
      <w:r>
        <w:rPr>
          <w:spacing w:val="-5"/>
        </w:rPr>
        <w:t xml:space="preserve"> </w:t>
      </w:r>
      <w:r>
        <w:t>Also</w:t>
      </w:r>
      <w:r>
        <w:rPr>
          <w:spacing w:val="-5"/>
        </w:rPr>
        <w:t xml:space="preserve"> </w:t>
      </w:r>
      <w:r>
        <w:t>available</w:t>
      </w:r>
      <w:r>
        <w:rPr>
          <w:spacing w:val="-5"/>
        </w:rPr>
        <w:t xml:space="preserve"> </w:t>
      </w:r>
      <w:r>
        <w:t>as</w:t>
      </w:r>
      <w:r>
        <w:rPr>
          <w:spacing w:val="-5"/>
        </w:rPr>
        <w:t xml:space="preserve"> </w:t>
      </w:r>
      <w:r>
        <w:t>BIS</w:t>
      </w:r>
      <w:r>
        <w:rPr>
          <w:spacing w:val="-5"/>
        </w:rPr>
        <w:t xml:space="preserve"> </w:t>
      </w:r>
      <w:r>
        <w:t>Working</w:t>
      </w:r>
      <w:r>
        <w:rPr>
          <w:spacing w:val="-5"/>
        </w:rPr>
        <w:t xml:space="preserve"> </w:t>
      </w:r>
      <w:r>
        <w:t>Papers</w:t>
      </w:r>
      <w:r>
        <w:rPr>
          <w:spacing w:val="-5"/>
        </w:rPr>
        <w:t xml:space="preserve"> </w:t>
      </w:r>
      <w:r>
        <w:t>No.</w:t>
      </w:r>
      <w:r>
        <w:rPr>
          <w:spacing w:val="-5"/>
        </w:rPr>
        <w:t xml:space="preserve"> </w:t>
      </w:r>
      <w:r>
        <w:t>1230,</w:t>
      </w:r>
      <w:r>
        <w:rPr>
          <w:spacing w:val="-5"/>
        </w:rPr>
        <w:t xml:space="preserve"> </w:t>
      </w:r>
      <w:r>
        <w:t xml:space="preserve">December, </w:t>
      </w:r>
      <w:hyperlink r:id="rId20">
        <w:r w:rsidR="00C67C54">
          <w:rPr>
            <w:color w:val="0000FF"/>
            <w:spacing w:val="-2"/>
            <w:u w:val="single" w:color="0000FF"/>
          </w:rPr>
          <w:t>https://www.bis.org/publ/work1230.htm</w:t>
        </w:r>
      </w:hyperlink>
    </w:p>
    <w:p w14:paraId="0F2301EF" w14:textId="77777777" w:rsidR="00C67C54" w:rsidRDefault="00000000">
      <w:pPr>
        <w:pStyle w:val="Corpsdetexte"/>
        <w:tabs>
          <w:tab w:val="left" w:pos="2881"/>
          <w:tab w:val="left" w:pos="4234"/>
          <w:tab w:val="left" w:pos="5467"/>
          <w:tab w:val="left" w:pos="6580"/>
          <w:tab w:val="left" w:pos="7558"/>
          <w:tab w:val="left" w:pos="8607"/>
        </w:tabs>
        <w:spacing w:before="4" w:line="379" w:lineRule="auto"/>
        <w:ind w:left="569" w:right="134" w:hanging="568"/>
      </w:pPr>
      <w:r>
        <w:t>Borio,</w:t>
      </w:r>
      <w:r>
        <w:rPr>
          <w:spacing w:val="16"/>
        </w:rPr>
        <w:t xml:space="preserve"> </w:t>
      </w:r>
      <w:r>
        <w:t>C.</w:t>
      </w:r>
      <w:r>
        <w:rPr>
          <w:spacing w:val="23"/>
        </w:rPr>
        <w:t xml:space="preserve"> </w:t>
      </w:r>
      <w:r>
        <w:t>and</w:t>
      </w:r>
      <w:r>
        <w:rPr>
          <w:spacing w:val="23"/>
        </w:rPr>
        <w:t xml:space="preserve"> </w:t>
      </w:r>
      <w:r>
        <w:t>P.</w:t>
      </w:r>
      <w:r>
        <w:rPr>
          <w:spacing w:val="23"/>
        </w:rPr>
        <w:t xml:space="preserve"> </w:t>
      </w:r>
      <w:r>
        <w:t>Disyatat</w:t>
      </w:r>
      <w:r>
        <w:rPr>
          <w:spacing w:val="-14"/>
        </w:rPr>
        <w:t xml:space="preserve"> </w:t>
      </w:r>
      <w:r>
        <w:t>(2021),</w:t>
      </w:r>
      <w:r>
        <w:rPr>
          <w:spacing w:val="24"/>
        </w:rPr>
        <w:t xml:space="preserve"> </w:t>
      </w:r>
      <w:r>
        <w:t>“Monetary</w:t>
      </w:r>
      <w:r>
        <w:rPr>
          <w:spacing w:val="23"/>
        </w:rPr>
        <w:t xml:space="preserve"> </w:t>
      </w:r>
      <w:r>
        <w:t>and</w:t>
      </w:r>
      <w:r>
        <w:rPr>
          <w:spacing w:val="23"/>
        </w:rPr>
        <w:t xml:space="preserve"> </w:t>
      </w:r>
      <w:r>
        <w:t>Fiscal</w:t>
      </w:r>
      <w:r>
        <w:rPr>
          <w:spacing w:val="23"/>
        </w:rPr>
        <w:t xml:space="preserve"> </w:t>
      </w:r>
      <w:r>
        <w:t>Policy:</w:t>
      </w:r>
      <w:r>
        <w:rPr>
          <w:spacing w:val="23"/>
        </w:rPr>
        <w:t xml:space="preserve"> </w:t>
      </w:r>
      <w:r>
        <w:t>Privileged</w:t>
      </w:r>
      <w:r>
        <w:rPr>
          <w:spacing w:val="23"/>
        </w:rPr>
        <w:t xml:space="preserve"> </w:t>
      </w:r>
      <w:r>
        <w:t>Powers,</w:t>
      </w:r>
      <w:r>
        <w:rPr>
          <w:spacing w:val="23"/>
        </w:rPr>
        <w:t xml:space="preserve"> </w:t>
      </w:r>
      <w:r>
        <w:t xml:space="preserve">Entwined </w:t>
      </w:r>
      <w:r>
        <w:rPr>
          <w:spacing w:val="-2"/>
        </w:rPr>
        <w:t>Responsibilities”,</w:t>
      </w:r>
      <w:r>
        <w:tab/>
      </w:r>
      <w:r>
        <w:rPr>
          <w:spacing w:val="-2"/>
        </w:rPr>
        <w:t>SUERF</w:t>
      </w:r>
      <w:r>
        <w:tab/>
      </w:r>
      <w:r>
        <w:rPr>
          <w:spacing w:val="-2"/>
        </w:rPr>
        <w:t>Policy</w:t>
      </w:r>
      <w:r>
        <w:tab/>
      </w:r>
      <w:r>
        <w:rPr>
          <w:spacing w:val="-4"/>
        </w:rPr>
        <w:t>Note</w:t>
      </w:r>
      <w:r>
        <w:tab/>
      </w:r>
      <w:r>
        <w:rPr>
          <w:spacing w:val="-4"/>
        </w:rPr>
        <w:t>No.</w:t>
      </w:r>
      <w:r>
        <w:tab/>
      </w:r>
      <w:r>
        <w:rPr>
          <w:spacing w:val="-4"/>
        </w:rPr>
        <w:t>238,</w:t>
      </w:r>
      <w:r>
        <w:tab/>
      </w:r>
      <w:r>
        <w:rPr>
          <w:spacing w:val="-4"/>
        </w:rPr>
        <w:t xml:space="preserve">May, </w:t>
      </w:r>
      <w:hyperlink r:id="rId21">
        <w:r w:rsidR="00C67C54">
          <w:rPr>
            <w:color w:val="0000FF"/>
            <w:spacing w:val="-2"/>
            <w:u w:val="single" w:color="0000FF"/>
          </w:rPr>
          <w:t>https://www.suerf.org/publications/suerf-policy-notes-and-briefs/monetary-and-fiscal-policy-privileged-powers-entwined-responsibilities/</w:t>
        </w:r>
      </w:hyperlink>
    </w:p>
    <w:p w14:paraId="4D0DD576" w14:textId="77777777" w:rsidR="00C67C54" w:rsidRDefault="00000000">
      <w:pPr>
        <w:pStyle w:val="Corpsdetexte"/>
        <w:spacing w:before="4" w:line="374" w:lineRule="auto"/>
        <w:ind w:left="568" w:right="136" w:hanging="568"/>
        <w:jc w:val="both"/>
      </w:pPr>
      <w:r>
        <w:rPr>
          <w:spacing w:val="-2"/>
        </w:rPr>
        <w:t>Borio,</w:t>
      </w:r>
      <w:r>
        <w:rPr>
          <w:spacing w:val="-12"/>
        </w:rPr>
        <w:t xml:space="preserve"> </w:t>
      </w:r>
      <w:r>
        <w:rPr>
          <w:spacing w:val="-2"/>
        </w:rPr>
        <w:t>C.,</w:t>
      </w:r>
      <w:r>
        <w:rPr>
          <w:spacing w:val="-11"/>
        </w:rPr>
        <w:t xml:space="preserve"> </w:t>
      </w:r>
      <w:r>
        <w:rPr>
          <w:spacing w:val="-2"/>
        </w:rPr>
        <w:t>P.</w:t>
      </w:r>
      <w:r>
        <w:rPr>
          <w:spacing w:val="-11"/>
        </w:rPr>
        <w:t xml:space="preserve"> </w:t>
      </w:r>
      <w:r>
        <w:rPr>
          <w:spacing w:val="-2"/>
        </w:rPr>
        <w:t>Disyatat,</w:t>
      </w:r>
      <w:r>
        <w:rPr>
          <w:spacing w:val="-12"/>
        </w:rPr>
        <w:t xml:space="preserve"> </w:t>
      </w:r>
      <w:r>
        <w:rPr>
          <w:spacing w:val="-2"/>
        </w:rPr>
        <w:t>M.</w:t>
      </w:r>
      <w:r>
        <w:rPr>
          <w:spacing w:val="-11"/>
        </w:rPr>
        <w:t xml:space="preserve"> </w:t>
      </w:r>
      <w:r>
        <w:rPr>
          <w:spacing w:val="-2"/>
        </w:rPr>
        <w:t>Juselius</w:t>
      </w:r>
      <w:r>
        <w:rPr>
          <w:spacing w:val="-11"/>
        </w:rPr>
        <w:t xml:space="preserve"> </w:t>
      </w:r>
      <w:r>
        <w:rPr>
          <w:spacing w:val="-2"/>
        </w:rPr>
        <w:t>and</w:t>
      </w:r>
      <w:r>
        <w:rPr>
          <w:spacing w:val="-11"/>
        </w:rPr>
        <w:t xml:space="preserve"> </w:t>
      </w:r>
      <w:r>
        <w:rPr>
          <w:spacing w:val="-2"/>
        </w:rPr>
        <w:t>P.</w:t>
      </w:r>
      <w:r>
        <w:rPr>
          <w:spacing w:val="-12"/>
        </w:rPr>
        <w:t xml:space="preserve"> </w:t>
      </w:r>
      <w:r>
        <w:rPr>
          <w:spacing w:val="-2"/>
        </w:rPr>
        <w:t>Rungcharoenkitkul</w:t>
      </w:r>
      <w:r>
        <w:rPr>
          <w:spacing w:val="-11"/>
        </w:rPr>
        <w:t xml:space="preserve"> </w:t>
      </w:r>
      <w:r>
        <w:rPr>
          <w:spacing w:val="-2"/>
        </w:rPr>
        <w:t>(2022),</w:t>
      </w:r>
      <w:r>
        <w:rPr>
          <w:spacing w:val="-11"/>
        </w:rPr>
        <w:t xml:space="preserve"> </w:t>
      </w:r>
      <w:r>
        <w:rPr>
          <w:spacing w:val="-2"/>
        </w:rPr>
        <w:t>“Why</w:t>
      </w:r>
      <w:r>
        <w:rPr>
          <w:spacing w:val="-11"/>
        </w:rPr>
        <w:t xml:space="preserve"> </w:t>
      </w:r>
      <w:r>
        <w:rPr>
          <w:spacing w:val="-2"/>
        </w:rPr>
        <w:t>so</w:t>
      </w:r>
      <w:r>
        <w:rPr>
          <w:spacing w:val="-12"/>
        </w:rPr>
        <w:t xml:space="preserve"> </w:t>
      </w:r>
      <w:r>
        <w:rPr>
          <w:spacing w:val="-2"/>
        </w:rPr>
        <w:t>Low</w:t>
      </w:r>
      <w:r>
        <w:rPr>
          <w:spacing w:val="-11"/>
        </w:rPr>
        <w:t xml:space="preserve"> </w:t>
      </w:r>
      <w:r>
        <w:rPr>
          <w:spacing w:val="-2"/>
        </w:rPr>
        <w:t>for</w:t>
      </w:r>
      <w:r>
        <w:rPr>
          <w:spacing w:val="-11"/>
        </w:rPr>
        <w:t xml:space="preserve"> </w:t>
      </w:r>
      <w:r>
        <w:rPr>
          <w:spacing w:val="-2"/>
        </w:rPr>
        <w:t>so</w:t>
      </w:r>
      <w:r>
        <w:rPr>
          <w:spacing w:val="-11"/>
        </w:rPr>
        <w:t xml:space="preserve"> </w:t>
      </w:r>
      <w:r>
        <w:rPr>
          <w:spacing w:val="-2"/>
        </w:rPr>
        <w:t>Long?</w:t>
      </w:r>
      <w:r>
        <w:rPr>
          <w:spacing w:val="-12"/>
        </w:rPr>
        <w:t xml:space="preserve"> </w:t>
      </w:r>
      <w:r>
        <w:rPr>
          <w:spacing w:val="-2"/>
        </w:rPr>
        <w:t xml:space="preserve">A </w:t>
      </w:r>
      <w:r>
        <w:rPr>
          <w:spacing w:val="-6"/>
        </w:rPr>
        <w:t>Long-Term</w:t>
      </w:r>
      <w:r>
        <w:rPr>
          <w:spacing w:val="-4"/>
        </w:rPr>
        <w:t xml:space="preserve"> </w:t>
      </w:r>
      <w:r>
        <w:rPr>
          <w:spacing w:val="-6"/>
        </w:rPr>
        <w:t>View</w:t>
      </w:r>
      <w:r>
        <w:t xml:space="preserve"> </w:t>
      </w:r>
      <w:r>
        <w:rPr>
          <w:spacing w:val="-6"/>
        </w:rPr>
        <w:t>of</w:t>
      </w:r>
      <w:r>
        <w:t xml:space="preserve"> </w:t>
      </w:r>
      <w:r>
        <w:rPr>
          <w:spacing w:val="-6"/>
        </w:rPr>
        <w:t>Real</w:t>
      </w:r>
      <w:r>
        <w:t xml:space="preserve"> </w:t>
      </w:r>
      <w:r>
        <w:rPr>
          <w:spacing w:val="-6"/>
        </w:rPr>
        <w:t>Interest</w:t>
      </w:r>
      <w:r>
        <w:t xml:space="preserve"> </w:t>
      </w:r>
      <w:r>
        <w:rPr>
          <w:spacing w:val="-6"/>
        </w:rPr>
        <w:t>Rates”,</w:t>
      </w:r>
      <w:r>
        <w:rPr>
          <w:spacing w:val="-8"/>
        </w:rPr>
        <w:t xml:space="preserve"> </w:t>
      </w:r>
      <w:r>
        <w:rPr>
          <w:i/>
          <w:spacing w:val="-6"/>
          <w:sz w:val="23"/>
        </w:rPr>
        <w:t>International Journal of Central Banking</w:t>
      </w:r>
      <w:r>
        <w:rPr>
          <w:spacing w:val="-6"/>
        </w:rPr>
        <w:t>,</w:t>
      </w:r>
      <w:r>
        <w:t xml:space="preserve"> </w:t>
      </w:r>
      <w:r>
        <w:rPr>
          <w:spacing w:val="-6"/>
        </w:rPr>
        <w:t xml:space="preserve">18(3), </w:t>
      </w:r>
      <w:r>
        <w:t xml:space="preserve">47-87, </w:t>
      </w:r>
      <w:hyperlink r:id="rId22">
        <w:r w:rsidR="00C67C54">
          <w:rPr>
            <w:color w:val="0000FF"/>
            <w:u w:val="single" w:color="0000FF"/>
          </w:rPr>
          <w:t>https://www.ijcb.org/journal/ijcb22q3a2.htm</w:t>
        </w:r>
      </w:hyperlink>
      <w:r>
        <w:rPr>
          <w:color w:val="0000FF"/>
        </w:rPr>
        <w:t xml:space="preserve"> </w:t>
      </w:r>
      <w:r>
        <w:t xml:space="preserve">Longer version available as BIS </w:t>
      </w:r>
      <w:r>
        <w:rPr>
          <w:spacing w:val="-2"/>
        </w:rPr>
        <w:t>Working</w:t>
      </w:r>
      <w:r>
        <w:rPr>
          <w:spacing w:val="-8"/>
        </w:rPr>
        <w:t xml:space="preserve"> </w:t>
      </w:r>
      <w:r>
        <w:rPr>
          <w:spacing w:val="-2"/>
        </w:rPr>
        <w:t>Papers</w:t>
      </w:r>
      <w:r>
        <w:rPr>
          <w:spacing w:val="-8"/>
        </w:rPr>
        <w:t xml:space="preserve"> </w:t>
      </w:r>
      <w:r>
        <w:rPr>
          <w:spacing w:val="-2"/>
        </w:rPr>
        <w:t>No.</w:t>
      </w:r>
      <w:r>
        <w:rPr>
          <w:spacing w:val="-8"/>
        </w:rPr>
        <w:t xml:space="preserve"> </w:t>
      </w:r>
      <w:r>
        <w:rPr>
          <w:spacing w:val="-2"/>
        </w:rPr>
        <w:t>685,</w:t>
      </w:r>
      <w:r>
        <w:rPr>
          <w:spacing w:val="-8"/>
        </w:rPr>
        <w:t xml:space="preserve"> </w:t>
      </w:r>
      <w:r>
        <w:rPr>
          <w:spacing w:val="-2"/>
        </w:rPr>
        <w:t>December</w:t>
      </w:r>
      <w:r>
        <w:rPr>
          <w:spacing w:val="-8"/>
        </w:rPr>
        <w:t xml:space="preserve"> </w:t>
      </w:r>
      <w:r>
        <w:rPr>
          <w:spacing w:val="-2"/>
        </w:rPr>
        <w:t>2017,</w:t>
      </w:r>
      <w:r>
        <w:rPr>
          <w:spacing w:val="-7"/>
        </w:rPr>
        <w:t xml:space="preserve"> </w:t>
      </w:r>
      <w:hyperlink r:id="rId23">
        <w:r w:rsidR="00C67C54">
          <w:rPr>
            <w:color w:val="0000FF"/>
            <w:spacing w:val="-2"/>
            <w:u w:val="single" w:color="0000FF"/>
          </w:rPr>
          <w:t>https://www.bis.org/publ/work685.htm</w:t>
        </w:r>
      </w:hyperlink>
    </w:p>
    <w:p w14:paraId="26C2ED14" w14:textId="77777777" w:rsidR="00C67C54" w:rsidRDefault="00000000">
      <w:pPr>
        <w:pStyle w:val="Corpsdetexte"/>
        <w:tabs>
          <w:tab w:val="left" w:pos="2443"/>
          <w:tab w:val="left" w:pos="3414"/>
          <w:tab w:val="left" w:pos="4965"/>
          <w:tab w:val="left" w:pos="6331"/>
          <w:tab w:val="left" w:pos="7630"/>
          <w:tab w:val="left" w:pos="8498"/>
        </w:tabs>
        <w:spacing w:before="6" w:line="372" w:lineRule="auto"/>
        <w:ind w:left="568" w:right="138" w:hanging="568"/>
        <w:jc w:val="both"/>
      </w:pPr>
      <w:r>
        <w:t>Borio,</w:t>
      </w:r>
      <w:r>
        <w:rPr>
          <w:spacing w:val="-5"/>
        </w:rPr>
        <w:t xml:space="preserve"> </w:t>
      </w:r>
      <w:r>
        <w:t>C.,</w:t>
      </w:r>
      <w:r>
        <w:rPr>
          <w:spacing w:val="-5"/>
        </w:rPr>
        <w:t xml:space="preserve"> </w:t>
      </w:r>
      <w:r>
        <w:t>M.</w:t>
      </w:r>
      <w:r>
        <w:rPr>
          <w:spacing w:val="-4"/>
        </w:rPr>
        <w:t xml:space="preserve"> </w:t>
      </w:r>
      <w:r>
        <w:t>Erdem,</w:t>
      </w:r>
      <w:r>
        <w:rPr>
          <w:spacing w:val="-5"/>
        </w:rPr>
        <w:t xml:space="preserve"> </w:t>
      </w:r>
      <w:r>
        <w:t>A.</w:t>
      </w:r>
      <w:r>
        <w:rPr>
          <w:spacing w:val="-5"/>
        </w:rPr>
        <w:t xml:space="preserve"> </w:t>
      </w:r>
      <w:r>
        <w:t>Filardo</w:t>
      </w:r>
      <w:r>
        <w:rPr>
          <w:spacing w:val="-5"/>
        </w:rPr>
        <w:t xml:space="preserve"> </w:t>
      </w:r>
      <w:r>
        <w:t>and</w:t>
      </w:r>
      <w:r>
        <w:rPr>
          <w:spacing w:val="-5"/>
        </w:rPr>
        <w:t xml:space="preserve"> </w:t>
      </w:r>
      <w:r>
        <w:t>B.</w:t>
      </w:r>
      <w:r>
        <w:rPr>
          <w:spacing w:val="-5"/>
        </w:rPr>
        <w:t xml:space="preserve"> </w:t>
      </w:r>
      <w:r>
        <w:t>Hofmann</w:t>
      </w:r>
      <w:r>
        <w:rPr>
          <w:spacing w:val="-4"/>
        </w:rPr>
        <w:t xml:space="preserve"> </w:t>
      </w:r>
      <w:r>
        <w:t>(2015),</w:t>
      </w:r>
      <w:r>
        <w:rPr>
          <w:spacing w:val="-5"/>
        </w:rPr>
        <w:t xml:space="preserve"> </w:t>
      </w:r>
      <w:r>
        <w:t>“The</w:t>
      </w:r>
      <w:r>
        <w:rPr>
          <w:spacing w:val="-4"/>
        </w:rPr>
        <w:t xml:space="preserve"> </w:t>
      </w:r>
      <w:r>
        <w:t>Costs</w:t>
      </w:r>
      <w:r>
        <w:rPr>
          <w:spacing w:val="-5"/>
        </w:rPr>
        <w:t xml:space="preserve"> </w:t>
      </w:r>
      <w:r>
        <w:t>of</w:t>
      </w:r>
      <w:r>
        <w:rPr>
          <w:spacing w:val="-5"/>
        </w:rPr>
        <w:t xml:space="preserve"> </w:t>
      </w:r>
      <w:r>
        <w:t>Deflations:</w:t>
      </w:r>
      <w:r>
        <w:rPr>
          <w:spacing w:val="-5"/>
        </w:rPr>
        <w:t xml:space="preserve"> </w:t>
      </w:r>
      <w:r>
        <w:t>A</w:t>
      </w:r>
      <w:r>
        <w:rPr>
          <w:spacing w:val="-5"/>
        </w:rPr>
        <w:t xml:space="preserve"> </w:t>
      </w:r>
      <w:r>
        <w:t xml:space="preserve">Historical </w:t>
      </w:r>
      <w:r>
        <w:rPr>
          <w:spacing w:val="-2"/>
        </w:rPr>
        <w:t>Perspective”,</w:t>
      </w:r>
      <w:r>
        <w:tab/>
      </w:r>
      <w:r>
        <w:rPr>
          <w:i/>
          <w:spacing w:val="-4"/>
          <w:sz w:val="23"/>
        </w:rPr>
        <w:t>BIS</w:t>
      </w:r>
      <w:r>
        <w:rPr>
          <w:i/>
          <w:sz w:val="23"/>
        </w:rPr>
        <w:tab/>
      </w:r>
      <w:r>
        <w:rPr>
          <w:i/>
          <w:spacing w:val="-2"/>
          <w:sz w:val="23"/>
        </w:rPr>
        <w:t>Quarterly</w:t>
      </w:r>
      <w:r>
        <w:rPr>
          <w:i/>
          <w:sz w:val="23"/>
        </w:rPr>
        <w:tab/>
      </w:r>
      <w:r>
        <w:rPr>
          <w:i/>
          <w:spacing w:val="-2"/>
          <w:sz w:val="23"/>
        </w:rPr>
        <w:t>Review</w:t>
      </w:r>
      <w:r>
        <w:rPr>
          <w:spacing w:val="-2"/>
        </w:rPr>
        <w:t>,</w:t>
      </w:r>
      <w:r>
        <w:tab/>
      </w:r>
      <w:r>
        <w:rPr>
          <w:spacing w:val="-2"/>
        </w:rPr>
        <w:t>March,</w:t>
      </w:r>
      <w:r>
        <w:tab/>
      </w:r>
      <w:r>
        <w:rPr>
          <w:spacing w:val="-6"/>
        </w:rPr>
        <w:t>pp</w:t>
      </w:r>
      <w:r>
        <w:tab/>
      </w:r>
      <w:r>
        <w:rPr>
          <w:spacing w:val="-6"/>
        </w:rPr>
        <w:t xml:space="preserve">31-54, </w:t>
      </w:r>
      <w:hyperlink r:id="rId24">
        <w:r w:rsidR="00C67C54">
          <w:rPr>
            <w:color w:val="0000FF"/>
            <w:spacing w:val="-2"/>
            <w:u w:val="single" w:color="0000FF"/>
          </w:rPr>
          <w:t>https://www.bis.org/publ/qtrpdf/r_qt1503e.htm</w:t>
        </w:r>
      </w:hyperlink>
    </w:p>
    <w:p w14:paraId="1F0DF09C" w14:textId="77777777" w:rsidR="00C67C54" w:rsidRDefault="00000000">
      <w:pPr>
        <w:pStyle w:val="Corpsdetexte"/>
        <w:spacing w:before="8" w:line="379" w:lineRule="auto"/>
        <w:ind w:left="569" w:right="137" w:hanging="568"/>
        <w:jc w:val="both"/>
      </w:pPr>
      <w:r>
        <w:t xml:space="preserve">Borio, C., M. Farag and N. Tarashev (2020): “Post-Crisis International Financial Regulatory Reforms: A Primer”, BIS Working Papers No. 859, April, </w:t>
      </w:r>
      <w:hyperlink r:id="rId25">
        <w:r w:rsidR="00C67C54">
          <w:rPr>
            <w:color w:val="0000FF"/>
            <w:spacing w:val="-2"/>
            <w:u w:val="single" w:color="0000FF"/>
          </w:rPr>
          <w:t>https://www.bis.org/publ/work859.pdf</w:t>
        </w:r>
      </w:hyperlink>
    </w:p>
    <w:p w14:paraId="74D44A10" w14:textId="77777777" w:rsidR="00C67C54" w:rsidRDefault="00000000">
      <w:pPr>
        <w:pStyle w:val="Corpsdetexte"/>
        <w:spacing w:before="3" w:line="379" w:lineRule="auto"/>
        <w:ind w:left="569" w:right="138" w:hanging="568"/>
        <w:jc w:val="both"/>
      </w:pPr>
      <w:r>
        <w:rPr>
          <w:spacing w:val="-4"/>
        </w:rPr>
        <w:t>Borio,</w:t>
      </w:r>
      <w:r>
        <w:rPr>
          <w:spacing w:val="-7"/>
        </w:rPr>
        <w:t xml:space="preserve"> </w:t>
      </w:r>
      <w:r>
        <w:rPr>
          <w:spacing w:val="-4"/>
        </w:rPr>
        <w:t>C.,</w:t>
      </w:r>
      <w:r>
        <w:rPr>
          <w:spacing w:val="-7"/>
        </w:rPr>
        <w:t xml:space="preserve"> </w:t>
      </w:r>
      <w:r>
        <w:rPr>
          <w:spacing w:val="-4"/>
        </w:rPr>
        <w:t>M.</w:t>
      </w:r>
      <w:r>
        <w:rPr>
          <w:spacing w:val="-5"/>
        </w:rPr>
        <w:t xml:space="preserve"> </w:t>
      </w:r>
      <w:r>
        <w:rPr>
          <w:spacing w:val="-4"/>
        </w:rPr>
        <w:t>Farag</w:t>
      </w:r>
      <w:r>
        <w:rPr>
          <w:spacing w:val="-7"/>
        </w:rPr>
        <w:t xml:space="preserve"> </w:t>
      </w:r>
      <w:r>
        <w:rPr>
          <w:spacing w:val="-4"/>
        </w:rPr>
        <w:t>and</w:t>
      </w:r>
      <w:r>
        <w:rPr>
          <w:spacing w:val="-7"/>
        </w:rPr>
        <w:t xml:space="preserve"> </w:t>
      </w:r>
      <w:r>
        <w:rPr>
          <w:spacing w:val="-4"/>
        </w:rPr>
        <w:t>F.</w:t>
      </w:r>
      <w:r>
        <w:rPr>
          <w:spacing w:val="-5"/>
        </w:rPr>
        <w:t xml:space="preserve"> </w:t>
      </w:r>
      <w:r>
        <w:rPr>
          <w:spacing w:val="-4"/>
        </w:rPr>
        <w:t>Zampolli</w:t>
      </w:r>
      <w:r>
        <w:rPr>
          <w:spacing w:val="-7"/>
        </w:rPr>
        <w:t xml:space="preserve"> </w:t>
      </w:r>
      <w:r>
        <w:rPr>
          <w:spacing w:val="-4"/>
        </w:rPr>
        <w:t>(2023),</w:t>
      </w:r>
      <w:r>
        <w:rPr>
          <w:spacing w:val="-7"/>
        </w:rPr>
        <w:t xml:space="preserve"> </w:t>
      </w:r>
      <w:r>
        <w:rPr>
          <w:spacing w:val="-4"/>
        </w:rPr>
        <w:t>“Tackling</w:t>
      </w:r>
      <w:r>
        <w:rPr>
          <w:spacing w:val="-7"/>
        </w:rPr>
        <w:t xml:space="preserve"> </w:t>
      </w:r>
      <w:r>
        <w:rPr>
          <w:spacing w:val="-4"/>
        </w:rPr>
        <w:t>the</w:t>
      </w:r>
      <w:r>
        <w:rPr>
          <w:spacing w:val="-7"/>
        </w:rPr>
        <w:t xml:space="preserve"> </w:t>
      </w:r>
      <w:r>
        <w:rPr>
          <w:spacing w:val="-4"/>
        </w:rPr>
        <w:t>Fiscal</w:t>
      </w:r>
      <w:r>
        <w:rPr>
          <w:spacing w:val="-7"/>
        </w:rPr>
        <w:t xml:space="preserve"> </w:t>
      </w:r>
      <w:r>
        <w:rPr>
          <w:spacing w:val="-4"/>
        </w:rPr>
        <w:t>Policy-Financial</w:t>
      </w:r>
      <w:r>
        <w:rPr>
          <w:spacing w:val="-7"/>
        </w:rPr>
        <w:t xml:space="preserve"> </w:t>
      </w:r>
      <w:r>
        <w:rPr>
          <w:spacing w:val="-4"/>
        </w:rPr>
        <w:t>Stability</w:t>
      </w:r>
      <w:r>
        <w:rPr>
          <w:spacing w:val="-8"/>
        </w:rPr>
        <w:t xml:space="preserve"> </w:t>
      </w:r>
      <w:r>
        <w:rPr>
          <w:spacing w:val="-4"/>
        </w:rPr>
        <w:t xml:space="preserve">Nexus”, </w:t>
      </w:r>
      <w:r>
        <w:rPr>
          <w:spacing w:val="-2"/>
        </w:rPr>
        <w:t>BIS</w:t>
      </w:r>
      <w:r>
        <w:rPr>
          <w:spacing w:val="-12"/>
        </w:rPr>
        <w:t xml:space="preserve"> </w:t>
      </w:r>
      <w:r>
        <w:rPr>
          <w:spacing w:val="-2"/>
        </w:rPr>
        <w:t>Working</w:t>
      </w:r>
      <w:r>
        <w:rPr>
          <w:spacing w:val="-9"/>
        </w:rPr>
        <w:t xml:space="preserve"> </w:t>
      </w:r>
      <w:r>
        <w:rPr>
          <w:spacing w:val="-2"/>
        </w:rPr>
        <w:t>Papers</w:t>
      </w:r>
      <w:r>
        <w:rPr>
          <w:spacing w:val="-12"/>
        </w:rPr>
        <w:t xml:space="preserve"> </w:t>
      </w:r>
      <w:r>
        <w:rPr>
          <w:spacing w:val="-2"/>
        </w:rPr>
        <w:t>No.</w:t>
      </w:r>
      <w:r>
        <w:rPr>
          <w:spacing w:val="-12"/>
        </w:rPr>
        <w:t xml:space="preserve"> </w:t>
      </w:r>
      <w:r>
        <w:rPr>
          <w:spacing w:val="-2"/>
        </w:rPr>
        <w:t>1090,</w:t>
      </w:r>
      <w:r>
        <w:rPr>
          <w:spacing w:val="-12"/>
        </w:rPr>
        <w:t xml:space="preserve"> </w:t>
      </w:r>
      <w:r>
        <w:rPr>
          <w:spacing w:val="-2"/>
        </w:rPr>
        <w:t>April,</w:t>
      </w:r>
      <w:r>
        <w:rPr>
          <w:spacing w:val="-12"/>
        </w:rPr>
        <w:t xml:space="preserve"> </w:t>
      </w:r>
      <w:hyperlink r:id="rId26">
        <w:r w:rsidR="00C67C54">
          <w:rPr>
            <w:color w:val="0000FF"/>
            <w:spacing w:val="-2"/>
            <w:u w:val="single" w:color="0000FF"/>
          </w:rPr>
          <w:t>https://www.bis.org/publ/work1090.htm</w:t>
        </w:r>
      </w:hyperlink>
    </w:p>
    <w:p w14:paraId="0F2A4D43" w14:textId="77777777" w:rsidR="00C67C54" w:rsidRDefault="00000000">
      <w:pPr>
        <w:pStyle w:val="Corpsdetexte"/>
        <w:spacing w:before="2" w:line="379" w:lineRule="auto"/>
        <w:ind w:left="569" w:right="136" w:hanging="568"/>
        <w:jc w:val="both"/>
      </w:pPr>
      <w:r>
        <w:t>Borio,</w:t>
      </w:r>
      <w:r>
        <w:rPr>
          <w:spacing w:val="-4"/>
        </w:rPr>
        <w:t xml:space="preserve"> </w:t>
      </w:r>
      <w:r>
        <w:t>C.,</w:t>
      </w:r>
      <w:r>
        <w:rPr>
          <w:spacing w:val="-4"/>
        </w:rPr>
        <w:t xml:space="preserve"> </w:t>
      </w:r>
      <w:r>
        <w:t>C.</w:t>
      </w:r>
      <w:r>
        <w:rPr>
          <w:spacing w:val="-4"/>
        </w:rPr>
        <w:t xml:space="preserve"> </w:t>
      </w:r>
      <w:r>
        <w:t>Furfine</w:t>
      </w:r>
      <w:r>
        <w:rPr>
          <w:spacing w:val="-4"/>
        </w:rPr>
        <w:t xml:space="preserve"> </w:t>
      </w:r>
      <w:r>
        <w:t>and</w:t>
      </w:r>
      <w:r>
        <w:rPr>
          <w:spacing w:val="-4"/>
        </w:rPr>
        <w:t xml:space="preserve"> </w:t>
      </w:r>
      <w:r>
        <w:t>P.</w:t>
      </w:r>
      <w:r>
        <w:rPr>
          <w:spacing w:val="-4"/>
        </w:rPr>
        <w:t xml:space="preserve"> </w:t>
      </w:r>
      <w:r>
        <w:t>Lowe</w:t>
      </w:r>
      <w:r>
        <w:rPr>
          <w:spacing w:val="-4"/>
        </w:rPr>
        <w:t xml:space="preserve"> </w:t>
      </w:r>
      <w:r>
        <w:t>(2001):</w:t>
      </w:r>
      <w:r>
        <w:rPr>
          <w:spacing w:val="-4"/>
        </w:rPr>
        <w:t xml:space="preserve"> </w:t>
      </w:r>
      <w:r>
        <w:t>“Procyclicality</w:t>
      </w:r>
      <w:r>
        <w:rPr>
          <w:spacing w:val="-4"/>
        </w:rPr>
        <w:t xml:space="preserve"> </w:t>
      </w:r>
      <w:r>
        <w:t>of</w:t>
      </w:r>
      <w:r>
        <w:rPr>
          <w:spacing w:val="-4"/>
        </w:rPr>
        <w:t xml:space="preserve"> </w:t>
      </w:r>
      <w:r>
        <w:t>the</w:t>
      </w:r>
      <w:r>
        <w:rPr>
          <w:spacing w:val="-4"/>
        </w:rPr>
        <w:t xml:space="preserve"> </w:t>
      </w:r>
      <w:r>
        <w:t>Financial</w:t>
      </w:r>
      <w:r>
        <w:rPr>
          <w:spacing w:val="-4"/>
        </w:rPr>
        <w:t xml:space="preserve"> </w:t>
      </w:r>
      <w:r>
        <w:t>System</w:t>
      </w:r>
      <w:r>
        <w:rPr>
          <w:spacing w:val="-4"/>
        </w:rPr>
        <w:t xml:space="preserve"> </w:t>
      </w:r>
      <w:r>
        <w:t>and</w:t>
      </w:r>
      <w:r>
        <w:rPr>
          <w:spacing w:val="-4"/>
        </w:rPr>
        <w:t xml:space="preserve"> </w:t>
      </w:r>
      <w:r>
        <w:t xml:space="preserve">Financial Stability: Issues and Policy Options”, BIS Papers No. 1, March, </w:t>
      </w:r>
      <w:hyperlink r:id="rId27">
        <w:r w:rsidR="00C67C54">
          <w:rPr>
            <w:color w:val="0000FF"/>
            <w:spacing w:val="-2"/>
            <w:u w:val="single" w:color="0000FF"/>
          </w:rPr>
          <w:t>https://www.bis.org/publ/bppdf/bispap01a.pdf</w:t>
        </w:r>
      </w:hyperlink>
      <w:r>
        <w:rPr>
          <w:color w:val="0000FF"/>
          <w:spacing w:val="-13"/>
        </w:rPr>
        <w:t xml:space="preserve"> </w:t>
      </w:r>
      <w:r>
        <w:rPr>
          <w:spacing w:val="-2"/>
        </w:rPr>
        <w:t>.</w:t>
      </w:r>
    </w:p>
    <w:p w14:paraId="64E2CA25" w14:textId="77777777" w:rsidR="00C67C54" w:rsidRDefault="00000000">
      <w:pPr>
        <w:pStyle w:val="Corpsdetexte"/>
        <w:spacing w:before="4" w:line="379" w:lineRule="auto"/>
        <w:ind w:left="568" w:right="137" w:hanging="568"/>
        <w:jc w:val="both"/>
      </w:pPr>
      <w:r>
        <w:rPr>
          <w:spacing w:val="-4"/>
        </w:rPr>
        <w:t>Borio,</w:t>
      </w:r>
      <w:r>
        <w:rPr>
          <w:spacing w:val="-5"/>
        </w:rPr>
        <w:t xml:space="preserve"> </w:t>
      </w:r>
      <w:r>
        <w:rPr>
          <w:spacing w:val="-4"/>
        </w:rPr>
        <w:t>C.,</w:t>
      </w:r>
      <w:r>
        <w:rPr>
          <w:spacing w:val="-5"/>
        </w:rPr>
        <w:t xml:space="preserve"> </w:t>
      </w:r>
      <w:r>
        <w:rPr>
          <w:spacing w:val="-4"/>
        </w:rPr>
        <w:t>M.</w:t>
      </w:r>
      <w:r>
        <w:rPr>
          <w:spacing w:val="-5"/>
        </w:rPr>
        <w:t xml:space="preserve"> </w:t>
      </w:r>
      <w:r>
        <w:rPr>
          <w:spacing w:val="-4"/>
        </w:rPr>
        <w:t>Lombardi,</w:t>
      </w:r>
      <w:r>
        <w:rPr>
          <w:spacing w:val="-5"/>
        </w:rPr>
        <w:t xml:space="preserve"> </w:t>
      </w:r>
      <w:r>
        <w:rPr>
          <w:spacing w:val="-4"/>
        </w:rPr>
        <w:t>J.</w:t>
      </w:r>
      <w:r>
        <w:rPr>
          <w:spacing w:val="-5"/>
        </w:rPr>
        <w:t xml:space="preserve"> </w:t>
      </w:r>
      <w:r>
        <w:rPr>
          <w:spacing w:val="-4"/>
        </w:rPr>
        <w:t>Yetman</w:t>
      </w:r>
      <w:r>
        <w:rPr>
          <w:spacing w:val="-5"/>
        </w:rPr>
        <w:t xml:space="preserve"> </w:t>
      </w:r>
      <w:r>
        <w:rPr>
          <w:spacing w:val="-4"/>
        </w:rPr>
        <w:t>and</w:t>
      </w:r>
      <w:r>
        <w:rPr>
          <w:spacing w:val="-6"/>
        </w:rPr>
        <w:t xml:space="preserve"> </w:t>
      </w:r>
      <w:r>
        <w:rPr>
          <w:spacing w:val="-4"/>
        </w:rPr>
        <w:t>E.</w:t>
      </w:r>
      <w:r>
        <w:rPr>
          <w:spacing w:val="-5"/>
        </w:rPr>
        <w:t xml:space="preserve"> </w:t>
      </w:r>
      <w:r>
        <w:rPr>
          <w:spacing w:val="-4"/>
        </w:rPr>
        <w:t>Zakrajšek (2023), “The Two-Regime</w:t>
      </w:r>
      <w:r>
        <w:rPr>
          <w:spacing w:val="-5"/>
        </w:rPr>
        <w:t xml:space="preserve"> </w:t>
      </w:r>
      <w:r>
        <w:rPr>
          <w:spacing w:val="-4"/>
        </w:rPr>
        <w:t>View</w:t>
      </w:r>
      <w:r>
        <w:rPr>
          <w:spacing w:val="-5"/>
        </w:rPr>
        <w:t xml:space="preserve"> </w:t>
      </w:r>
      <w:r>
        <w:rPr>
          <w:spacing w:val="-4"/>
        </w:rPr>
        <w:t xml:space="preserve">of Inflation”, </w:t>
      </w:r>
      <w:r>
        <w:rPr>
          <w:spacing w:val="-2"/>
        </w:rPr>
        <w:t>BIS</w:t>
      </w:r>
      <w:r>
        <w:rPr>
          <w:spacing w:val="-8"/>
        </w:rPr>
        <w:t xml:space="preserve"> </w:t>
      </w:r>
      <w:r>
        <w:rPr>
          <w:spacing w:val="-2"/>
        </w:rPr>
        <w:t>Papers</w:t>
      </w:r>
      <w:r>
        <w:rPr>
          <w:spacing w:val="-5"/>
        </w:rPr>
        <w:t xml:space="preserve"> </w:t>
      </w:r>
      <w:r>
        <w:rPr>
          <w:spacing w:val="-2"/>
        </w:rPr>
        <w:t>No.</w:t>
      </w:r>
      <w:r>
        <w:rPr>
          <w:spacing w:val="-8"/>
        </w:rPr>
        <w:t xml:space="preserve"> </w:t>
      </w:r>
      <w:r>
        <w:rPr>
          <w:spacing w:val="-2"/>
        </w:rPr>
        <w:t>133,</w:t>
      </w:r>
      <w:r>
        <w:rPr>
          <w:spacing w:val="-8"/>
        </w:rPr>
        <w:t xml:space="preserve"> </w:t>
      </w:r>
      <w:r>
        <w:rPr>
          <w:spacing w:val="-2"/>
        </w:rPr>
        <w:t>March,</w:t>
      </w:r>
      <w:r>
        <w:rPr>
          <w:spacing w:val="-8"/>
        </w:rPr>
        <w:t xml:space="preserve"> </w:t>
      </w:r>
      <w:hyperlink r:id="rId28">
        <w:r w:rsidR="00C67C54">
          <w:rPr>
            <w:color w:val="0000FF"/>
            <w:spacing w:val="-2"/>
            <w:u w:val="single" w:color="0000FF"/>
          </w:rPr>
          <w:t>https://www.bis.org/publ/bppdf/bispap133.htm</w:t>
        </w:r>
      </w:hyperlink>
    </w:p>
    <w:p w14:paraId="6B71E03B" w14:textId="77777777" w:rsidR="00C67C54" w:rsidRDefault="00000000">
      <w:pPr>
        <w:pStyle w:val="Corpsdetexte"/>
        <w:spacing w:before="2" w:line="379" w:lineRule="auto"/>
        <w:ind w:left="569" w:right="139" w:hanging="568"/>
        <w:jc w:val="both"/>
      </w:pPr>
      <w:r>
        <w:t xml:space="preserve">Borio, C. and P. Lowe (2002), “Asset Prices, Financial and Monetary Stability: Exploring the </w:t>
      </w:r>
      <w:r>
        <w:rPr>
          <w:spacing w:val="-2"/>
        </w:rPr>
        <w:t>Nexus”,</w:t>
      </w:r>
      <w:r>
        <w:rPr>
          <w:spacing w:val="-9"/>
        </w:rPr>
        <w:t xml:space="preserve"> </w:t>
      </w:r>
      <w:r>
        <w:rPr>
          <w:spacing w:val="-2"/>
        </w:rPr>
        <w:t>BIS</w:t>
      </w:r>
      <w:r>
        <w:rPr>
          <w:spacing w:val="-8"/>
        </w:rPr>
        <w:t xml:space="preserve"> </w:t>
      </w:r>
      <w:r>
        <w:rPr>
          <w:spacing w:val="-2"/>
        </w:rPr>
        <w:t>Papers</w:t>
      </w:r>
      <w:r>
        <w:rPr>
          <w:spacing w:val="-8"/>
        </w:rPr>
        <w:t xml:space="preserve"> </w:t>
      </w:r>
      <w:r>
        <w:rPr>
          <w:spacing w:val="-2"/>
        </w:rPr>
        <w:t>No.</w:t>
      </w:r>
      <w:r>
        <w:rPr>
          <w:spacing w:val="-9"/>
        </w:rPr>
        <w:t xml:space="preserve"> </w:t>
      </w:r>
      <w:r>
        <w:rPr>
          <w:spacing w:val="-2"/>
        </w:rPr>
        <w:t>114,</w:t>
      </w:r>
      <w:r>
        <w:rPr>
          <w:spacing w:val="-9"/>
        </w:rPr>
        <w:t xml:space="preserve"> </w:t>
      </w:r>
      <w:r>
        <w:rPr>
          <w:spacing w:val="-2"/>
        </w:rPr>
        <w:t>July,</w:t>
      </w:r>
      <w:r>
        <w:rPr>
          <w:spacing w:val="-9"/>
        </w:rPr>
        <w:t xml:space="preserve"> </w:t>
      </w:r>
      <w:hyperlink r:id="rId29">
        <w:r w:rsidR="00C67C54">
          <w:rPr>
            <w:color w:val="0000FF"/>
            <w:spacing w:val="-2"/>
            <w:u w:val="single" w:color="0000FF"/>
          </w:rPr>
          <w:t>https://doi.org/10.2139/ssrn.846305</w:t>
        </w:r>
      </w:hyperlink>
    </w:p>
    <w:p w14:paraId="0AB41BC4" w14:textId="77777777" w:rsidR="00C67C54" w:rsidRDefault="00000000">
      <w:pPr>
        <w:pStyle w:val="Corpsdetexte"/>
        <w:spacing w:before="2" w:line="372" w:lineRule="auto"/>
        <w:ind w:left="569" w:right="137" w:hanging="568"/>
        <w:jc w:val="both"/>
      </w:pPr>
      <w:r>
        <w:t>Borio,</w:t>
      </w:r>
      <w:r>
        <w:rPr>
          <w:spacing w:val="-9"/>
        </w:rPr>
        <w:t xml:space="preserve"> </w:t>
      </w:r>
      <w:r>
        <w:t>C.</w:t>
      </w:r>
      <w:r>
        <w:rPr>
          <w:spacing w:val="-9"/>
        </w:rPr>
        <w:t xml:space="preserve"> </w:t>
      </w:r>
      <w:r>
        <w:t>and</w:t>
      </w:r>
      <w:r>
        <w:rPr>
          <w:spacing w:val="-9"/>
        </w:rPr>
        <w:t xml:space="preserve"> </w:t>
      </w:r>
      <w:r>
        <w:t>H.</w:t>
      </w:r>
      <w:r>
        <w:rPr>
          <w:spacing w:val="-9"/>
        </w:rPr>
        <w:t xml:space="preserve"> </w:t>
      </w:r>
      <w:r>
        <w:t>Zhu</w:t>
      </w:r>
      <w:r>
        <w:rPr>
          <w:spacing w:val="-8"/>
        </w:rPr>
        <w:t xml:space="preserve"> </w:t>
      </w:r>
      <w:r>
        <w:t>(2012),</w:t>
      </w:r>
      <w:r>
        <w:rPr>
          <w:spacing w:val="-9"/>
        </w:rPr>
        <w:t xml:space="preserve"> </w:t>
      </w:r>
      <w:r>
        <w:t>“Capital</w:t>
      </w:r>
      <w:r>
        <w:rPr>
          <w:spacing w:val="-9"/>
        </w:rPr>
        <w:t xml:space="preserve"> </w:t>
      </w:r>
      <w:r>
        <w:t>Regulation,</w:t>
      </w:r>
      <w:r>
        <w:rPr>
          <w:spacing w:val="-9"/>
        </w:rPr>
        <w:t xml:space="preserve"> </w:t>
      </w:r>
      <w:r>
        <w:t>Risk-Taking</w:t>
      </w:r>
      <w:r>
        <w:rPr>
          <w:spacing w:val="-9"/>
        </w:rPr>
        <w:t xml:space="preserve"> </w:t>
      </w:r>
      <w:r>
        <w:t>and</w:t>
      </w:r>
      <w:r>
        <w:rPr>
          <w:spacing w:val="-9"/>
        </w:rPr>
        <w:t xml:space="preserve"> </w:t>
      </w:r>
      <w:r>
        <w:t>Monetary</w:t>
      </w:r>
      <w:r>
        <w:rPr>
          <w:spacing w:val="-9"/>
        </w:rPr>
        <w:t xml:space="preserve"> </w:t>
      </w:r>
      <w:r>
        <w:t>Policy:</w:t>
      </w:r>
      <w:r>
        <w:rPr>
          <w:spacing w:val="-9"/>
        </w:rPr>
        <w:t xml:space="preserve"> </w:t>
      </w:r>
      <w:r>
        <w:t>A</w:t>
      </w:r>
      <w:r>
        <w:rPr>
          <w:spacing w:val="-9"/>
        </w:rPr>
        <w:t xml:space="preserve"> </w:t>
      </w:r>
      <w:r>
        <w:t xml:space="preserve">Missing </w:t>
      </w:r>
      <w:r>
        <w:rPr>
          <w:spacing w:val="-6"/>
        </w:rPr>
        <w:t>Link</w:t>
      </w:r>
      <w:r>
        <w:rPr>
          <w:spacing w:val="-3"/>
        </w:rPr>
        <w:t xml:space="preserve"> </w:t>
      </w:r>
      <w:r>
        <w:rPr>
          <w:spacing w:val="-6"/>
        </w:rPr>
        <w:t>in</w:t>
      </w:r>
      <w:r>
        <w:rPr>
          <w:spacing w:val="-3"/>
        </w:rPr>
        <w:t xml:space="preserve"> </w:t>
      </w:r>
      <w:r>
        <w:rPr>
          <w:spacing w:val="-6"/>
        </w:rPr>
        <w:t>the</w:t>
      </w:r>
      <w:r>
        <w:rPr>
          <w:spacing w:val="-4"/>
        </w:rPr>
        <w:t xml:space="preserve"> </w:t>
      </w:r>
      <w:r>
        <w:rPr>
          <w:spacing w:val="-6"/>
        </w:rPr>
        <w:t>Transmission</w:t>
      </w:r>
      <w:r>
        <w:rPr>
          <w:spacing w:val="-3"/>
        </w:rPr>
        <w:t xml:space="preserve"> </w:t>
      </w:r>
      <w:r>
        <w:rPr>
          <w:spacing w:val="-6"/>
        </w:rPr>
        <w:t>Mechanism?”,</w:t>
      </w:r>
      <w:r>
        <w:rPr>
          <w:spacing w:val="-3"/>
        </w:rPr>
        <w:t xml:space="preserve"> </w:t>
      </w:r>
      <w:r>
        <w:rPr>
          <w:i/>
          <w:spacing w:val="-6"/>
          <w:sz w:val="23"/>
        </w:rPr>
        <w:t>Journal</w:t>
      </w:r>
      <w:r>
        <w:rPr>
          <w:i/>
          <w:spacing w:val="-5"/>
          <w:sz w:val="23"/>
        </w:rPr>
        <w:t xml:space="preserve"> </w:t>
      </w:r>
      <w:r>
        <w:rPr>
          <w:i/>
          <w:spacing w:val="-6"/>
          <w:sz w:val="23"/>
        </w:rPr>
        <w:t>of</w:t>
      </w:r>
      <w:r>
        <w:rPr>
          <w:i/>
          <w:spacing w:val="-5"/>
          <w:sz w:val="23"/>
        </w:rPr>
        <w:t xml:space="preserve"> </w:t>
      </w:r>
      <w:r>
        <w:rPr>
          <w:i/>
          <w:spacing w:val="-6"/>
          <w:sz w:val="23"/>
        </w:rPr>
        <w:t>Financial</w:t>
      </w:r>
      <w:r>
        <w:rPr>
          <w:i/>
          <w:spacing w:val="-7"/>
          <w:sz w:val="23"/>
        </w:rPr>
        <w:t xml:space="preserve"> </w:t>
      </w:r>
      <w:r>
        <w:rPr>
          <w:i/>
          <w:spacing w:val="-6"/>
          <w:sz w:val="23"/>
        </w:rPr>
        <w:t>Stability</w:t>
      </w:r>
      <w:r>
        <w:rPr>
          <w:spacing w:val="-6"/>
        </w:rPr>
        <w:t>,</w:t>
      </w:r>
      <w:r>
        <w:rPr>
          <w:spacing w:val="-4"/>
        </w:rPr>
        <w:t xml:space="preserve"> </w:t>
      </w:r>
      <w:r>
        <w:rPr>
          <w:spacing w:val="-6"/>
        </w:rPr>
        <w:t>8(4),</w:t>
      </w:r>
      <w:r>
        <w:rPr>
          <w:spacing w:val="-2"/>
        </w:rPr>
        <w:t xml:space="preserve"> </w:t>
      </w:r>
      <w:r>
        <w:rPr>
          <w:spacing w:val="-6"/>
        </w:rPr>
        <w:t>236-251.</w:t>
      </w:r>
      <w:r>
        <w:rPr>
          <w:spacing w:val="-1"/>
        </w:rPr>
        <w:t xml:space="preserve"> </w:t>
      </w:r>
      <w:r>
        <w:rPr>
          <w:spacing w:val="-6"/>
        </w:rPr>
        <w:t>Also</w:t>
      </w:r>
    </w:p>
    <w:p w14:paraId="3A99EA12" w14:textId="77777777" w:rsidR="00C67C54" w:rsidRDefault="00C67C54">
      <w:pPr>
        <w:pStyle w:val="Corpsdetexte"/>
        <w:spacing w:line="372" w:lineRule="auto"/>
        <w:jc w:val="both"/>
        <w:sectPr w:rsidR="00C67C54" w:rsidSect="007F7AAD">
          <w:pgSz w:w="11910" w:h="16840" w:code="9"/>
          <w:pgMar w:top="1939" w:right="1276" w:bottom="760" w:left="1418" w:header="0" w:footer="567" w:gutter="0"/>
          <w:cols w:space="720"/>
        </w:sectPr>
      </w:pPr>
    </w:p>
    <w:p w14:paraId="3DB59366" w14:textId="77777777" w:rsidR="00C67C54" w:rsidRDefault="00C67C54">
      <w:pPr>
        <w:pStyle w:val="Corpsdetexte"/>
        <w:spacing w:before="87"/>
      </w:pPr>
    </w:p>
    <w:p w14:paraId="79E4883E" w14:textId="77777777" w:rsidR="00C67C54" w:rsidRDefault="00000000">
      <w:pPr>
        <w:pStyle w:val="Corpsdetexte"/>
        <w:spacing w:line="379" w:lineRule="auto"/>
        <w:ind w:left="569" w:right="136"/>
        <w:jc w:val="both"/>
      </w:pPr>
      <w:r>
        <w:t xml:space="preserve">available as BIS Working Papers No. 268, December 2008, </w:t>
      </w:r>
      <w:hyperlink r:id="rId30">
        <w:r w:rsidR="00C67C54">
          <w:rPr>
            <w:color w:val="0000FF"/>
            <w:spacing w:val="-2"/>
            <w:u w:val="single" w:color="0000FF"/>
          </w:rPr>
          <w:t>https://doi.org/10.1016/j.jfs.2011.12.003</w:t>
        </w:r>
      </w:hyperlink>
    </w:p>
    <w:p w14:paraId="4F4BAAB5" w14:textId="77777777" w:rsidR="00C67C54" w:rsidRPr="00F418F0" w:rsidRDefault="00000000">
      <w:pPr>
        <w:pStyle w:val="Corpsdetexte"/>
        <w:spacing w:before="2" w:line="379" w:lineRule="auto"/>
        <w:ind w:left="569" w:right="137" w:hanging="568"/>
        <w:jc w:val="both"/>
        <w:rPr>
          <w:lang w:val="it-IT"/>
        </w:rPr>
      </w:pPr>
      <w:r w:rsidRPr="00F418F0">
        <w:rPr>
          <w:lang w:val="it-IT"/>
        </w:rPr>
        <w:t>Cottarelli,</w:t>
      </w:r>
      <w:r w:rsidRPr="00F418F0">
        <w:rPr>
          <w:spacing w:val="-8"/>
          <w:lang w:val="it-IT"/>
        </w:rPr>
        <w:t xml:space="preserve"> </w:t>
      </w:r>
      <w:r w:rsidRPr="00F418F0">
        <w:rPr>
          <w:lang w:val="it-IT"/>
        </w:rPr>
        <w:t>C.</w:t>
      </w:r>
      <w:r w:rsidRPr="00F418F0">
        <w:rPr>
          <w:spacing w:val="-8"/>
          <w:lang w:val="it-IT"/>
        </w:rPr>
        <w:t xml:space="preserve"> </w:t>
      </w:r>
      <w:r w:rsidRPr="00F418F0">
        <w:rPr>
          <w:lang w:val="it-IT"/>
        </w:rPr>
        <w:t>(2017),</w:t>
      </w:r>
      <w:r w:rsidRPr="00F418F0">
        <w:rPr>
          <w:spacing w:val="-8"/>
          <w:lang w:val="it-IT"/>
        </w:rPr>
        <w:t xml:space="preserve"> </w:t>
      </w:r>
      <w:r w:rsidRPr="00F418F0">
        <w:rPr>
          <w:lang w:val="it-IT"/>
        </w:rPr>
        <w:t>“Il</w:t>
      </w:r>
      <w:r w:rsidRPr="00F418F0">
        <w:rPr>
          <w:spacing w:val="-8"/>
          <w:lang w:val="it-IT"/>
        </w:rPr>
        <w:t xml:space="preserve"> </w:t>
      </w:r>
      <w:r w:rsidRPr="00F418F0">
        <w:rPr>
          <w:lang w:val="it-IT"/>
        </w:rPr>
        <w:t>debito</w:t>
      </w:r>
      <w:r w:rsidRPr="00F418F0">
        <w:rPr>
          <w:spacing w:val="-8"/>
          <w:lang w:val="it-IT"/>
        </w:rPr>
        <w:t xml:space="preserve"> </w:t>
      </w:r>
      <w:r w:rsidRPr="00F418F0">
        <w:rPr>
          <w:lang w:val="it-IT"/>
        </w:rPr>
        <w:t>pubblico</w:t>
      </w:r>
      <w:r w:rsidRPr="00F418F0">
        <w:rPr>
          <w:spacing w:val="-8"/>
          <w:lang w:val="it-IT"/>
        </w:rPr>
        <w:t xml:space="preserve"> </w:t>
      </w:r>
      <w:r w:rsidRPr="00F418F0">
        <w:rPr>
          <w:lang w:val="it-IT"/>
        </w:rPr>
        <w:t>dei</w:t>
      </w:r>
      <w:r w:rsidRPr="00F418F0">
        <w:rPr>
          <w:spacing w:val="-8"/>
          <w:lang w:val="it-IT"/>
        </w:rPr>
        <w:t xml:space="preserve"> </w:t>
      </w:r>
      <w:r w:rsidRPr="00F418F0">
        <w:rPr>
          <w:lang w:val="it-IT"/>
        </w:rPr>
        <w:t>paesi</w:t>
      </w:r>
      <w:r w:rsidRPr="00F418F0">
        <w:rPr>
          <w:spacing w:val="-7"/>
          <w:lang w:val="it-IT"/>
        </w:rPr>
        <w:t xml:space="preserve"> </w:t>
      </w:r>
      <w:r w:rsidRPr="00F418F0">
        <w:rPr>
          <w:lang w:val="it-IT"/>
        </w:rPr>
        <w:t>avanzati:</w:t>
      </w:r>
      <w:r w:rsidRPr="00F418F0">
        <w:rPr>
          <w:spacing w:val="-8"/>
          <w:lang w:val="it-IT"/>
        </w:rPr>
        <w:t xml:space="preserve"> </w:t>
      </w:r>
      <w:r w:rsidRPr="00F418F0">
        <w:rPr>
          <w:lang w:val="it-IT"/>
        </w:rPr>
        <w:t>perché</w:t>
      </w:r>
      <w:r w:rsidRPr="00F418F0">
        <w:rPr>
          <w:spacing w:val="-7"/>
          <w:lang w:val="it-IT"/>
        </w:rPr>
        <w:t xml:space="preserve"> </w:t>
      </w:r>
      <w:r w:rsidRPr="00F418F0">
        <w:rPr>
          <w:lang w:val="it-IT"/>
        </w:rPr>
        <w:t>ci</w:t>
      </w:r>
      <w:r w:rsidRPr="00F418F0">
        <w:rPr>
          <w:spacing w:val="-8"/>
          <w:lang w:val="it-IT"/>
        </w:rPr>
        <w:t xml:space="preserve"> </w:t>
      </w:r>
      <w:r w:rsidRPr="00F418F0">
        <w:rPr>
          <w:lang w:val="it-IT"/>
        </w:rPr>
        <w:t>dobbiamo</w:t>
      </w:r>
      <w:r w:rsidRPr="00F418F0">
        <w:rPr>
          <w:spacing w:val="-8"/>
          <w:lang w:val="it-IT"/>
        </w:rPr>
        <w:t xml:space="preserve"> </w:t>
      </w:r>
      <w:r w:rsidRPr="00F418F0">
        <w:rPr>
          <w:lang w:val="it-IT"/>
        </w:rPr>
        <w:t>preoccupare?”, Lectio Magistralis, conferimento della Laurea Honoris Causa in Amministrazione e Politiche</w:t>
      </w:r>
      <w:r w:rsidRPr="00F418F0">
        <w:rPr>
          <w:spacing w:val="-5"/>
          <w:lang w:val="it-IT"/>
        </w:rPr>
        <w:t xml:space="preserve"> </w:t>
      </w:r>
      <w:r w:rsidRPr="00F418F0">
        <w:rPr>
          <w:lang w:val="it-IT"/>
        </w:rPr>
        <w:t>Pubbliche,</w:t>
      </w:r>
      <w:r w:rsidRPr="00F418F0">
        <w:rPr>
          <w:spacing w:val="-5"/>
          <w:lang w:val="it-IT"/>
        </w:rPr>
        <w:t xml:space="preserve"> </w:t>
      </w:r>
      <w:r w:rsidRPr="00F418F0">
        <w:rPr>
          <w:lang w:val="it-IT"/>
        </w:rPr>
        <w:t>Università</w:t>
      </w:r>
      <w:r w:rsidRPr="00F418F0">
        <w:rPr>
          <w:spacing w:val="-4"/>
          <w:lang w:val="it-IT"/>
        </w:rPr>
        <w:t xml:space="preserve"> </w:t>
      </w:r>
      <w:r w:rsidRPr="00F418F0">
        <w:rPr>
          <w:lang w:val="it-IT"/>
        </w:rPr>
        <w:t>di</w:t>
      </w:r>
      <w:r w:rsidRPr="00F418F0">
        <w:rPr>
          <w:spacing w:val="-5"/>
          <w:lang w:val="it-IT"/>
        </w:rPr>
        <w:t xml:space="preserve"> </w:t>
      </w:r>
      <w:r w:rsidRPr="00F418F0">
        <w:rPr>
          <w:lang w:val="it-IT"/>
        </w:rPr>
        <w:t>Genova,</w:t>
      </w:r>
      <w:r w:rsidRPr="00F418F0">
        <w:rPr>
          <w:spacing w:val="-5"/>
          <w:lang w:val="it-IT"/>
        </w:rPr>
        <w:t xml:space="preserve"> </w:t>
      </w:r>
      <w:r w:rsidRPr="00F418F0">
        <w:rPr>
          <w:lang w:val="it-IT"/>
        </w:rPr>
        <w:t>17</w:t>
      </w:r>
      <w:r w:rsidRPr="00F418F0">
        <w:rPr>
          <w:spacing w:val="-5"/>
          <w:lang w:val="it-IT"/>
        </w:rPr>
        <w:t xml:space="preserve"> </w:t>
      </w:r>
      <w:r w:rsidRPr="00F418F0">
        <w:rPr>
          <w:lang w:val="it-IT"/>
        </w:rPr>
        <w:t>Novembre.</w:t>
      </w:r>
    </w:p>
    <w:p w14:paraId="24E0C915" w14:textId="77777777" w:rsidR="00C67C54" w:rsidRDefault="00000000">
      <w:pPr>
        <w:pStyle w:val="Corpsdetexte"/>
        <w:tabs>
          <w:tab w:val="left" w:pos="2236"/>
          <w:tab w:val="left" w:pos="2992"/>
          <w:tab w:val="left" w:pos="4345"/>
          <w:tab w:val="left" w:pos="6084"/>
          <w:tab w:val="left" w:pos="7209"/>
          <w:tab w:val="left" w:pos="7985"/>
        </w:tabs>
        <w:spacing w:before="3" w:line="379" w:lineRule="auto"/>
        <w:ind w:left="569" w:right="136" w:hanging="568"/>
        <w:jc w:val="both"/>
      </w:pPr>
      <w:r>
        <w:t xml:space="preserve">Crockett, A. (2000), “Marrying the Micro- and Macroprudential Dimensions of Financial Stability”, Remarks at the Financial Stability Forum, before the Eleventh International </w:t>
      </w:r>
      <w:r>
        <w:rPr>
          <w:spacing w:val="-2"/>
        </w:rPr>
        <w:t>Conference</w:t>
      </w:r>
      <w:r>
        <w:tab/>
      </w:r>
      <w:r>
        <w:rPr>
          <w:spacing w:val="-6"/>
        </w:rPr>
        <w:t>of</w:t>
      </w:r>
      <w:r>
        <w:tab/>
      </w:r>
      <w:r>
        <w:rPr>
          <w:spacing w:val="-2"/>
        </w:rPr>
        <w:t>Banking</w:t>
      </w:r>
      <w:r>
        <w:tab/>
      </w:r>
      <w:r>
        <w:rPr>
          <w:spacing w:val="-2"/>
        </w:rPr>
        <w:t>Supervisors,</w:t>
      </w:r>
      <w:r>
        <w:tab/>
      </w:r>
      <w:r>
        <w:rPr>
          <w:spacing w:val="-2"/>
        </w:rPr>
        <w:t>Basel,</w:t>
      </w:r>
      <w:r>
        <w:tab/>
      </w:r>
      <w:r>
        <w:rPr>
          <w:spacing w:val="-6"/>
        </w:rPr>
        <w:t>21</w:t>
      </w:r>
      <w:r>
        <w:tab/>
      </w:r>
      <w:r>
        <w:rPr>
          <w:spacing w:val="-4"/>
        </w:rPr>
        <w:t xml:space="preserve">September, </w:t>
      </w:r>
      <w:hyperlink r:id="rId31">
        <w:r w:rsidR="00C67C54">
          <w:rPr>
            <w:color w:val="0000FF"/>
            <w:spacing w:val="-2"/>
            <w:u w:val="single" w:color="0000FF"/>
          </w:rPr>
          <w:t>https://www.bis.org/speeches/sp000921.htm</w:t>
        </w:r>
      </w:hyperlink>
    </w:p>
    <w:p w14:paraId="5E8EF09C" w14:textId="77777777" w:rsidR="00C67C54" w:rsidRDefault="00000000">
      <w:pPr>
        <w:pStyle w:val="Corpsdetexte"/>
        <w:spacing w:line="376" w:lineRule="auto"/>
        <w:ind w:left="568" w:right="137" w:hanging="568"/>
        <w:jc w:val="both"/>
      </w:pPr>
      <w:r>
        <w:t xml:space="preserve">Feldstein, M. (2015), “The Deflation Bogeyman” </w:t>
      </w:r>
      <w:r>
        <w:rPr>
          <w:i/>
          <w:sz w:val="23"/>
        </w:rPr>
        <w:t>Project Syndicate</w:t>
      </w:r>
      <w:r>
        <w:t xml:space="preserve">, 28 February, </w:t>
      </w:r>
      <w:hyperlink r:id="rId32">
        <w:r w:rsidR="00C67C54">
          <w:rPr>
            <w:color w:val="0000FF"/>
            <w:spacing w:val="-2"/>
            <w:u w:val="single" w:color="0000FF"/>
          </w:rPr>
          <w:t>https://www.project-syndicate.org/commentary/inflation-rates-central-bank-by-martin-</w:t>
        </w:r>
      </w:hyperlink>
      <w:r>
        <w:rPr>
          <w:color w:val="0000FF"/>
          <w:spacing w:val="-2"/>
          <w:u w:val="single" w:color="0000FF"/>
        </w:rPr>
        <w:t>feldstein-2015-02</w:t>
      </w:r>
    </w:p>
    <w:p w14:paraId="2CB1838A" w14:textId="77777777" w:rsidR="00C67C54" w:rsidRDefault="00000000">
      <w:pPr>
        <w:pStyle w:val="Corpsdetexte"/>
        <w:spacing w:line="372" w:lineRule="auto"/>
        <w:ind w:left="569" w:right="137" w:hanging="568"/>
        <w:jc w:val="both"/>
      </w:pPr>
      <w:r>
        <w:rPr>
          <w:spacing w:val="-2"/>
        </w:rPr>
        <w:t>Garavito,</w:t>
      </w:r>
      <w:r>
        <w:rPr>
          <w:spacing w:val="-12"/>
        </w:rPr>
        <w:t xml:space="preserve"> </w:t>
      </w:r>
      <w:r>
        <w:rPr>
          <w:spacing w:val="-2"/>
        </w:rPr>
        <w:t>F.,</w:t>
      </w:r>
      <w:r>
        <w:rPr>
          <w:spacing w:val="-10"/>
        </w:rPr>
        <w:t xml:space="preserve"> </w:t>
      </w:r>
      <w:r>
        <w:rPr>
          <w:spacing w:val="-2"/>
        </w:rPr>
        <w:t>U.</w:t>
      </w:r>
      <w:r>
        <w:rPr>
          <w:spacing w:val="-12"/>
        </w:rPr>
        <w:t xml:space="preserve"> </w:t>
      </w:r>
      <w:r>
        <w:rPr>
          <w:spacing w:val="-2"/>
        </w:rPr>
        <w:t>Lewrick,</w:t>
      </w:r>
      <w:r>
        <w:rPr>
          <w:spacing w:val="-10"/>
        </w:rPr>
        <w:t xml:space="preserve"> </w:t>
      </w:r>
      <w:r>
        <w:rPr>
          <w:spacing w:val="-2"/>
        </w:rPr>
        <w:t>T.</w:t>
      </w:r>
      <w:r>
        <w:rPr>
          <w:spacing w:val="-11"/>
        </w:rPr>
        <w:t xml:space="preserve"> </w:t>
      </w:r>
      <w:r>
        <w:rPr>
          <w:spacing w:val="-2"/>
        </w:rPr>
        <w:t>Stastny</w:t>
      </w:r>
      <w:r>
        <w:rPr>
          <w:spacing w:val="-12"/>
        </w:rPr>
        <w:t xml:space="preserve"> </w:t>
      </w:r>
      <w:r>
        <w:rPr>
          <w:spacing w:val="-2"/>
        </w:rPr>
        <w:t>and</w:t>
      </w:r>
      <w:r>
        <w:rPr>
          <w:spacing w:val="-11"/>
        </w:rPr>
        <w:t xml:space="preserve"> </w:t>
      </w:r>
      <w:r>
        <w:rPr>
          <w:spacing w:val="-2"/>
        </w:rPr>
        <w:t>K.</w:t>
      </w:r>
      <w:r>
        <w:rPr>
          <w:spacing w:val="-11"/>
        </w:rPr>
        <w:t xml:space="preserve"> </w:t>
      </w:r>
      <w:r>
        <w:rPr>
          <w:spacing w:val="-2"/>
        </w:rPr>
        <w:t>Todorov</w:t>
      </w:r>
      <w:r>
        <w:rPr>
          <w:spacing w:val="-11"/>
        </w:rPr>
        <w:t xml:space="preserve"> </w:t>
      </w:r>
      <w:r>
        <w:rPr>
          <w:spacing w:val="-2"/>
        </w:rPr>
        <w:t>(2024),</w:t>
      </w:r>
      <w:r>
        <w:rPr>
          <w:spacing w:val="-12"/>
        </w:rPr>
        <w:t xml:space="preserve"> </w:t>
      </w:r>
      <w:r>
        <w:rPr>
          <w:spacing w:val="-2"/>
        </w:rPr>
        <w:t>“Shifting</w:t>
      </w:r>
      <w:r>
        <w:rPr>
          <w:spacing w:val="-11"/>
        </w:rPr>
        <w:t xml:space="preserve"> </w:t>
      </w:r>
      <w:r>
        <w:rPr>
          <w:spacing w:val="-2"/>
        </w:rPr>
        <w:t>Landscapes:</w:t>
      </w:r>
      <w:r>
        <w:rPr>
          <w:spacing w:val="-11"/>
        </w:rPr>
        <w:t xml:space="preserve"> </w:t>
      </w:r>
      <w:r>
        <w:rPr>
          <w:spacing w:val="-2"/>
        </w:rPr>
        <w:t>Life</w:t>
      </w:r>
      <w:r>
        <w:rPr>
          <w:spacing w:val="-11"/>
        </w:rPr>
        <w:t xml:space="preserve"> </w:t>
      </w:r>
      <w:r>
        <w:rPr>
          <w:spacing w:val="-2"/>
        </w:rPr>
        <w:t xml:space="preserve">Insurance </w:t>
      </w:r>
      <w:r>
        <w:t xml:space="preserve">and Financial Stability”, </w:t>
      </w:r>
      <w:r>
        <w:rPr>
          <w:i/>
          <w:sz w:val="23"/>
        </w:rPr>
        <w:t>BIS Quarterly Review</w:t>
      </w:r>
      <w:r>
        <w:t xml:space="preserve">, September, pp 21-34, </w:t>
      </w:r>
      <w:hyperlink r:id="rId33">
        <w:r w:rsidR="00C67C54">
          <w:rPr>
            <w:color w:val="0000FF"/>
            <w:spacing w:val="-2"/>
            <w:u w:val="single" w:color="0000FF"/>
          </w:rPr>
          <w:t>https://www.bis.org/publ/qtrpdf/r_qt2409b.htm</w:t>
        </w:r>
      </w:hyperlink>
    </w:p>
    <w:p w14:paraId="31100A11" w14:textId="77777777" w:rsidR="00C67C54" w:rsidRDefault="00000000">
      <w:pPr>
        <w:pStyle w:val="Corpsdetexte"/>
        <w:spacing w:before="5" w:line="379" w:lineRule="auto"/>
        <w:ind w:left="569" w:right="137" w:hanging="568"/>
        <w:jc w:val="both"/>
      </w:pPr>
      <w:r>
        <w:t xml:space="preserve">Greenspan, A. (1994), Testimony before the Subcommittee on Economic Growth and Credit Formation of the Committee on Banking, Finance and Urban Affairs, US House of Representatives, 22 February, </w:t>
      </w:r>
      <w:hyperlink r:id="rId34">
        <w:r w:rsidR="00C67C54">
          <w:rPr>
            <w:color w:val="0000FF"/>
            <w:u w:val="single" w:color="0000FF"/>
          </w:rPr>
          <w:t>https://fraser.stlouisfed.org/title/statements-speeches-</w:t>
        </w:r>
        <w:r w:rsidR="00C67C54">
          <w:rPr>
            <w:color w:val="0000FF"/>
            <w:spacing w:val="-2"/>
            <w:u w:val="single" w:color="0000FF"/>
          </w:rPr>
          <w:t>alan-greenspan-452/semiannual-monetary-policy-report-congress-8500</w:t>
        </w:r>
      </w:hyperlink>
    </w:p>
    <w:p w14:paraId="4F5F0C36" w14:textId="77777777" w:rsidR="00C67C54" w:rsidRDefault="00000000">
      <w:pPr>
        <w:pStyle w:val="Corpsdetexte"/>
        <w:spacing w:before="5" w:line="379" w:lineRule="auto"/>
        <w:ind w:left="569" w:right="137" w:hanging="568"/>
        <w:jc w:val="both"/>
      </w:pPr>
      <w:r>
        <w:t>Hernandez</w:t>
      </w:r>
      <w:r>
        <w:rPr>
          <w:spacing w:val="-5"/>
        </w:rPr>
        <w:t xml:space="preserve"> </w:t>
      </w:r>
      <w:r>
        <w:t>de</w:t>
      </w:r>
      <w:r>
        <w:rPr>
          <w:spacing w:val="-5"/>
        </w:rPr>
        <w:t xml:space="preserve"> </w:t>
      </w:r>
      <w:r>
        <w:t>Cos,</w:t>
      </w:r>
      <w:r>
        <w:rPr>
          <w:spacing w:val="-5"/>
        </w:rPr>
        <w:t xml:space="preserve"> </w:t>
      </w:r>
      <w:r>
        <w:t>P.</w:t>
      </w:r>
      <w:r>
        <w:rPr>
          <w:spacing w:val="-5"/>
        </w:rPr>
        <w:t xml:space="preserve"> </w:t>
      </w:r>
      <w:r>
        <w:t>(2025),</w:t>
      </w:r>
      <w:r>
        <w:rPr>
          <w:spacing w:val="-5"/>
        </w:rPr>
        <w:t xml:space="preserve"> </w:t>
      </w:r>
      <w:r>
        <w:t>“Fiscal</w:t>
      </w:r>
      <w:r>
        <w:rPr>
          <w:spacing w:val="-4"/>
        </w:rPr>
        <w:t xml:space="preserve"> </w:t>
      </w:r>
      <w:r>
        <w:t>Threats</w:t>
      </w:r>
      <w:r>
        <w:rPr>
          <w:spacing w:val="-5"/>
        </w:rPr>
        <w:t xml:space="preserve"> </w:t>
      </w:r>
      <w:r>
        <w:t>in</w:t>
      </w:r>
      <w:r>
        <w:rPr>
          <w:spacing w:val="-5"/>
        </w:rPr>
        <w:t xml:space="preserve"> </w:t>
      </w:r>
      <w:r>
        <w:t>a</w:t>
      </w:r>
      <w:r>
        <w:rPr>
          <w:spacing w:val="-5"/>
        </w:rPr>
        <w:t xml:space="preserve"> </w:t>
      </w:r>
      <w:r>
        <w:t>Changing</w:t>
      </w:r>
      <w:r>
        <w:rPr>
          <w:spacing w:val="-5"/>
        </w:rPr>
        <w:t xml:space="preserve"> </w:t>
      </w:r>
      <w:r>
        <w:t>Global</w:t>
      </w:r>
      <w:r>
        <w:rPr>
          <w:spacing w:val="-5"/>
        </w:rPr>
        <w:t xml:space="preserve"> </w:t>
      </w:r>
      <w:r>
        <w:t>Financial</w:t>
      </w:r>
      <w:r>
        <w:rPr>
          <w:spacing w:val="-5"/>
        </w:rPr>
        <w:t xml:space="preserve"> </w:t>
      </w:r>
      <w:r>
        <w:t>System”,</w:t>
      </w:r>
      <w:r>
        <w:rPr>
          <w:spacing w:val="-5"/>
        </w:rPr>
        <w:t xml:space="preserve"> </w:t>
      </w:r>
      <w:r>
        <w:t xml:space="preserve">Lecture delivered at the London School of Economics, 27 November, </w:t>
      </w:r>
      <w:hyperlink r:id="rId35">
        <w:r w:rsidR="00C67C54">
          <w:rPr>
            <w:color w:val="0000FF"/>
            <w:spacing w:val="-2"/>
            <w:u w:val="single" w:color="0000FF"/>
          </w:rPr>
          <w:t>https://d.docs.live.net/284102ed9296a8ad/Home/Speeches</w:t>
        </w:r>
      </w:hyperlink>
      <w:r>
        <w:rPr>
          <w:color w:val="0000FF"/>
          <w:spacing w:val="-2"/>
          <w:u w:val="single" w:color="0000FF"/>
        </w:rPr>
        <w:t xml:space="preserve"> 2025/Genova/Chapter 7r1</w:t>
      </w:r>
      <w:r>
        <w:rPr>
          <w:color w:val="0000FF"/>
          <w:spacing w:val="-2"/>
        </w:rPr>
        <w:t xml:space="preserve"> </w:t>
      </w:r>
      <w:r>
        <w:rPr>
          <w:color w:val="0000FF"/>
          <w:spacing w:val="-2"/>
          <w:u w:val="single" w:color="0000FF"/>
        </w:rPr>
        <w:t>CB.docx</w:t>
      </w:r>
    </w:p>
    <w:p w14:paraId="0C644BE3" w14:textId="77777777" w:rsidR="00C67C54" w:rsidRDefault="00000000">
      <w:pPr>
        <w:pStyle w:val="Corpsdetexte"/>
        <w:spacing w:before="4" w:line="379" w:lineRule="auto"/>
        <w:ind w:left="569" w:right="138" w:hanging="568"/>
        <w:jc w:val="both"/>
      </w:pPr>
      <w:r>
        <w:t>Leijonhufvud, A (2009), “Stabilities and Instabilities in the Macroeconomy”, VoxEU, 21 November,</w:t>
      </w:r>
      <w:r>
        <w:rPr>
          <w:spacing w:val="-14"/>
        </w:rPr>
        <w:t xml:space="preserve"> </w:t>
      </w:r>
      <w:hyperlink r:id="rId36">
        <w:r w:rsidR="00C67C54">
          <w:rPr>
            <w:color w:val="0000FF"/>
            <w:u w:val="single" w:color="0000FF"/>
          </w:rPr>
          <w:t>https://voxeu.org/article/stabilities-and-instabilities-macroeconomy</w:t>
        </w:r>
      </w:hyperlink>
    </w:p>
    <w:p w14:paraId="7EBFF5E3" w14:textId="77777777" w:rsidR="00C67C54" w:rsidRPr="00F418F0" w:rsidRDefault="00000000">
      <w:pPr>
        <w:pStyle w:val="Corpsdetexte"/>
        <w:spacing w:before="2" w:line="379" w:lineRule="auto"/>
        <w:ind w:left="569" w:right="140" w:hanging="568"/>
        <w:jc w:val="both"/>
        <w:rPr>
          <w:lang w:val="it-IT"/>
        </w:rPr>
      </w:pPr>
      <w:r w:rsidRPr="00F418F0">
        <w:rPr>
          <w:spacing w:val="-2"/>
          <w:lang w:val="it-IT"/>
        </w:rPr>
        <w:t>Padoa-Schioppa,</w:t>
      </w:r>
      <w:r w:rsidRPr="00F418F0">
        <w:rPr>
          <w:spacing w:val="-9"/>
          <w:lang w:val="it-IT"/>
        </w:rPr>
        <w:t xml:space="preserve"> </w:t>
      </w:r>
      <w:r w:rsidRPr="00F418F0">
        <w:rPr>
          <w:spacing w:val="-2"/>
          <w:lang w:val="it-IT"/>
        </w:rPr>
        <w:t>T.</w:t>
      </w:r>
      <w:r w:rsidRPr="00F418F0">
        <w:rPr>
          <w:spacing w:val="-9"/>
          <w:lang w:val="it-IT"/>
        </w:rPr>
        <w:t xml:space="preserve"> </w:t>
      </w:r>
      <w:r w:rsidRPr="00F418F0">
        <w:rPr>
          <w:spacing w:val="-2"/>
          <w:lang w:val="it-IT"/>
        </w:rPr>
        <w:t>(2009),</w:t>
      </w:r>
      <w:r w:rsidRPr="00F418F0">
        <w:rPr>
          <w:spacing w:val="-9"/>
          <w:lang w:val="it-IT"/>
        </w:rPr>
        <w:t xml:space="preserve"> </w:t>
      </w:r>
      <w:r w:rsidRPr="00F418F0">
        <w:rPr>
          <w:spacing w:val="-2"/>
          <w:lang w:val="it-IT"/>
        </w:rPr>
        <w:t>La</w:t>
      </w:r>
      <w:r w:rsidRPr="00F418F0">
        <w:rPr>
          <w:spacing w:val="-9"/>
          <w:lang w:val="it-IT"/>
        </w:rPr>
        <w:t xml:space="preserve"> </w:t>
      </w:r>
      <w:r w:rsidRPr="00F418F0">
        <w:rPr>
          <w:spacing w:val="-2"/>
          <w:lang w:val="it-IT"/>
        </w:rPr>
        <w:t>veduta</w:t>
      </w:r>
      <w:r w:rsidRPr="00F418F0">
        <w:rPr>
          <w:spacing w:val="-9"/>
          <w:lang w:val="it-IT"/>
        </w:rPr>
        <w:t xml:space="preserve"> </w:t>
      </w:r>
      <w:r w:rsidRPr="00F418F0">
        <w:rPr>
          <w:spacing w:val="-2"/>
          <w:lang w:val="it-IT"/>
        </w:rPr>
        <w:t>corta,</w:t>
      </w:r>
      <w:r w:rsidRPr="00F418F0">
        <w:rPr>
          <w:spacing w:val="-8"/>
          <w:lang w:val="it-IT"/>
        </w:rPr>
        <w:t xml:space="preserve"> </w:t>
      </w:r>
      <w:r w:rsidRPr="00F418F0">
        <w:rPr>
          <w:spacing w:val="-2"/>
          <w:lang w:val="it-IT"/>
        </w:rPr>
        <w:t>Conversazione</w:t>
      </w:r>
      <w:r w:rsidRPr="00F418F0">
        <w:rPr>
          <w:spacing w:val="-9"/>
          <w:lang w:val="it-IT"/>
        </w:rPr>
        <w:t xml:space="preserve"> </w:t>
      </w:r>
      <w:r w:rsidRPr="00F418F0">
        <w:rPr>
          <w:spacing w:val="-2"/>
          <w:lang w:val="it-IT"/>
        </w:rPr>
        <w:t>con</w:t>
      </w:r>
      <w:r w:rsidRPr="00F418F0">
        <w:rPr>
          <w:spacing w:val="-9"/>
          <w:lang w:val="it-IT"/>
        </w:rPr>
        <w:t xml:space="preserve"> </w:t>
      </w:r>
      <w:r w:rsidRPr="00F418F0">
        <w:rPr>
          <w:spacing w:val="-2"/>
          <w:lang w:val="it-IT"/>
        </w:rPr>
        <w:t>Beda</w:t>
      </w:r>
      <w:r w:rsidRPr="00F418F0">
        <w:rPr>
          <w:spacing w:val="-9"/>
          <w:lang w:val="it-IT"/>
        </w:rPr>
        <w:t xml:space="preserve"> </w:t>
      </w:r>
      <w:r w:rsidRPr="00F418F0">
        <w:rPr>
          <w:spacing w:val="-2"/>
          <w:lang w:val="it-IT"/>
        </w:rPr>
        <w:t>Romano</w:t>
      </w:r>
      <w:r w:rsidRPr="00F418F0">
        <w:rPr>
          <w:spacing w:val="-9"/>
          <w:lang w:val="it-IT"/>
        </w:rPr>
        <w:t xml:space="preserve"> </w:t>
      </w:r>
      <w:r w:rsidRPr="00F418F0">
        <w:rPr>
          <w:spacing w:val="-2"/>
          <w:lang w:val="it-IT"/>
        </w:rPr>
        <w:t>sulla</w:t>
      </w:r>
      <w:r w:rsidRPr="00F418F0">
        <w:rPr>
          <w:spacing w:val="-9"/>
          <w:lang w:val="it-IT"/>
        </w:rPr>
        <w:t xml:space="preserve"> </w:t>
      </w:r>
      <w:r w:rsidRPr="00F418F0">
        <w:rPr>
          <w:spacing w:val="-2"/>
          <w:lang w:val="it-IT"/>
        </w:rPr>
        <w:t>grande</w:t>
      </w:r>
      <w:r w:rsidRPr="00F418F0">
        <w:rPr>
          <w:spacing w:val="-8"/>
          <w:lang w:val="it-IT"/>
        </w:rPr>
        <w:t xml:space="preserve"> </w:t>
      </w:r>
      <w:r w:rsidRPr="00F418F0">
        <w:rPr>
          <w:spacing w:val="-2"/>
          <w:lang w:val="it-IT"/>
        </w:rPr>
        <w:t xml:space="preserve">crisi della finanza, il Mulino, </w:t>
      </w:r>
      <w:hyperlink r:id="rId37">
        <w:r w:rsidR="00C67C54" w:rsidRPr="00F418F0">
          <w:rPr>
            <w:color w:val="0000FF"/>
            <w:spacing w:val="-2"/>
            <w:u w:val="single" w:color="0000FF"/>
            <w:lang w:val="it-IT"/>
          </w:rPr>
          <w:t>https://www.mulino.it/isbn/9788815130976</w:t>
        </w:r>
      </w:hyperlink>
    </w:p>
    <w:p w14:paraId="25490F09" w14:textId="77777777" w:rsidR="00C67C54" w:rsidRDefault="00000000">
      <w:pPr>
        <w:pStyle w:val="Corpsdetexte"/>
        <w:spacing w:before="2" w:line="379" w:lineRule="auto"/>
        <w:ind w:left="569" w:hanging="568"/>
      </w:pPr>
      <w:r>
        <w:rPr>
          <w:spacing w:val="-2"/>
        </w:rPr>
        <w:t>Rajan,</w:t>
      </w:r>
      <w:r>
        <w:rPr>
          <w:spacing w:val="-13"/>
        </w:rPr>
        <w:t xml:space="preserve"> </w:t>
      </w:r>
      <w:r>
        <w:rPr>
          <w:spacing w:val="-2"/>
        </w:rPr>
        <w:t>R.</w:t>
      </w:r>
      <w:r>
        <w:rPr>
          <w:spacing w:val="-13"/>
        </w:rPr>
        <w:t xml:space="preserve"> </w:t>
      </w:r>
      <w:r>
        <w:rPr>
          <w:spacing w:val="-2"/>
        </w:rPr>
        <w:t>(2015),</w:t>
      </w:r>
      <w:r>
        <w:rPr>
          <w:spacing w:val="-13"/>
        </w:rPr>
        <w:t xml:space="preserve"> </w:t>
      </w:r>
      <w:r>
        <w:rPr>
          <w:spacing w:val="-2"/>
        </w:rPr>
        <w:t>Panel</w:t>
      </w:r>
      <w:r>
        <w:rPr>
          <w:spacing w:val="-13"/>
        </w:rPr>
        <w:t xml:space="preserve"> </w:t>
      </w:r>
      <w:r>
        <w:rPr>
          <w:spacing w:val="-2"/>
        </w:rPr>
        <w:t>Remarks</w:t>
      </w:r>
      <w:r>
        <w:rPr>
          <w:spacing w:val="-13"/>
        </w:rPr>
        <w:t xml:space="preserve"> </w:t>
      </w:r>
      <w:r>
        <w:rPr>
          <w:spacing w:val="-2"/>
        </w:rPr>
        <w:t>at</w:t>
      </w:r>
      <w:r>
        <w:rPr>
          <w:spacing w:val="-13"/>
        </w:rPr>
        <w:t xml:space="preserve"> </w:t>
      </w:r>
      <w:r>
        <w:rPr>
          <w:spacing w:val="-2"/>
        </w:rPr>
        <w:t>the</w:t>
      </w:r>
      <w:r>
        <w:rPr>
          <w:spacing w:val="-12"/>
        </w:rPr>
        <w:t xml:space="preserve"> </w:t>
      </w:r>
      <w:r>
        <w:rPr>
          <w:spacing w:val="-2"/>
        </w:rPr>
        <w:t>IMF</w:t>
      </w:r>
      <w:r>
        <w:rPr>
          <w:spacing w:val="-13"/>
        </w:rPr>
        <w:t xml:space="preserve"> </w:t>
      </w:r>
      <w:r>
        <w:rPr>
          <w:spacing w:val="-2"/>
        </w:rPr>
        <w:t>Conference</w:t>
      </w:r>
      <w:r>
        <w:rPr>
          <w:spacing w:val="-13"/>
        </w:rPr>
        <w:t xml:space="preserve"> </w:t>
      </w:r>
      <w:r>
        <w:rPr>
          <w:spacing w:val="-2"/>
        </w:rPr>
        <w:t>on</w:t>
      </w:r>
      <w:r>
        <w:rPr>
          <w:spacing w:val="-13"/>
        </w:rPr>
        <w:t xml:space="preserve"> </w:t>
      </w:r>
      <w:r>
        <w:rPr>
          <w:spacing w:val="-2"/>
        </w:rPr>
        <w:t>“Rethinking</w:t>
      </w:r>
      <w:r>
        <w:rPr>
          <w:spacing w:val="-13"/>
        </w:rPr>
        <w:t xml:space="preserve"> </w:t>
      </w:r>
      <w:r>
        <w:rPr>
          <w:spacing w:val="-2"/>
        </w:rPr>
        <w:t>Macro</w:t>
      </w:r>
      <w:r>
        <w:rPr>
          <w:spacing w:val="-13"/>
        </w:rPr>
        <w:t xml:space="preserve"> </w:t>
      </w:r>
      <w:r>
        <w:rPr>
          <w:spacing w:val="-2"/>
        </w:rPr>
        <w:t>Policy</w:t>
      </w:r>
      <w:r>
        <w:rPr>
          <w:spacing w:val="-13"/>
        </w:rPr>
        <w:t xml:space="preserve"> </w:t>
      </w:r>
      <w:r>
        <w:rPr>
          <w:spacing w:val="-2"/>
        </w:rPr>
        <w:t xml:space="preserve">III”, </w:t>
      </w:r>
      <w:r>
        <w:t xml:space="preserve">Washington DC, 15-16 April, </w:t>
      </w:r>
      <w:hyperlink r:id="rId38">
        <w:r w:rsidR="00C67C54">
          <w:rPr>
            <w:color w:val="0000FF"/>
            <w:spacing w:val="-2"/>
            <w:u w:val="single" w:color="0000FF"/>
          </w:rPr>
          <w:t>https://www.imf.org/external/np/seminars/eng/2015/macro3/index.htm</w:t>
        </w:r>
      </w:hyperlink>
    </w:p>
    <w:p w14:paraId="693C196F" w14:textId="18D7D77F" w:rsidR="00C67C54" w:rsidRDefault="00000000" w:rsidP="00D73ABC">
      <w:pPr>
        <w:pStyle w:val="Corpsdetexte"/>
        <w:spacing w:before="3" w:line="379" w:lineRule="auto"/>
        <w:ind w:left="569" w:hanging="568"/>
      </w:pPr>
      <w:r>
        <w:t>Volcker,</w:t>
      </w:r>
      <w:r>
        <w:rPr>
          <w:spacing w:val="-7"/>
        </w:rPr>
        <w:t xml:space="preserve"> </w:t>
      </w:r>
      <w:r>
        <w:t>P</w:t>
      </w:r>
      <w:r>
        <w:rPr>
          <w:spacing w:val="-7"/>
        </w:rPr>
        <w:t xml:space="preserve"> </w:t>
      </w:r>
      <w:r>
        <w:t>(1983),</w:t>
      </w:r>
      <w:r>
        <w:rPr>
          <w:spacing w:val="-7"/>
        </w:rPr>
        <w:t xml:space="preserve"> </w:t>
      </w:r>
      <w:r>
        <w:t>“We</w:t>
      </w:r>
      <w:r>
        <w:rPr>
          <w:spacing w:val="-7"/>
        </w:rPr>
        <w:t xml:space="preserve"> </w:t>
      </w:r>
      <w:r>
        <w:t>can</w:t>
      </w:r>
      <w:r>
        <w:rPr>
          <w:spacing w:val="-7"/>
        </w:rPr>
        <w:t xml:space="preserve"> </w:t>
      </w:r>
      <w:r>
        <w:t>Survive</w:t>
      </w:r>
      <w:r>
        <w:rPr>
          <w:spacing w:val="-7"/>
        </w:rPr>
        <w:t xml:space="preserve"> </w:t>
      </w:r>
      <w:r>
        <w:t>Prosperity”,</w:t>
      </w:r>
      <w:r>
        <w:rPr>
          <w:spacing w:val="-5"/>
        </w:rPr>
        <w:t xml:space="preserve"> </w:t>
      </w:r>
      <w:r>
        <w:t>Remarks</w:t>
      </w:r>
      <w:r>
        <w:rPr>
          <w:spacing w:val="-7"/>
        </w:rPr>
        <w:t xml:space="preserve"> </w:t>
      </w:r>
      <w:r>
        <w:t>at</w:t>
      </w:r>
      <w:r>
        <w:rPr>
          <w:spacing w:val="-7"/>
        </w:rPr>
        <w:t xml:space="preserve"> </w:t>
      </w:r>
      <w:r>
        <w:t>the</w:t>
      </w:r>
      <w:r>
        <w:rPr>
          <w:spacing w:val="-7"/>
        </w:rPr>
        <w:t xml:space="preserve"> </w:t>
      </w:r>
      <w:r>
        <w:t>Joint</w:t>
      </w:r>
      <w:r>
        <w:rPr>
          <w:spacing w:val="-7"/>
        </w:rPr>
        <w:t xml:space="preserve"> </w:t>
      </w:r>
      <w:r>
        <w:t>Meeting</w:t>
      </w:r>
      <w:r>
        <w:rPr>
          <w:spacing w:val="-7"/>
        </w:rPr>
        <w:t xml:space="preserve"> </w:t>
      </w:r>
      <w:r>
        <w:t>of</w:t>
      </w:r>
      <w:r>
        <w:rPr>
          <w:spacing w:val="-7"/>
        </w:rPr>
        <w:t xml:space="preserve"> </w:t>
      </w:r>
      <w:r>
        <w:t>the</w:t>
      </w:r>
      <w:r>
        <w:rPr>
          <w:spacing w:val="-7"/>
        </w:rPr>
        <w:t xml:space="preserve"> </w:t>
      </w:r>
      <w:r>
        <w:t>American Economic</w:t>
      </w:r>
      <w:r>
        <w:rPr>
          <w:spacing w:val="-4"/>
        </w:rPr>
        <w:t xml:space="preserve"> </w:t>
      </w:r>
      <w:r>
        <w:t>Association</w:t>
      </w:r>
      <w:r>
        <w:rPr>
          <w:spacing w:val="-2"/>
        </w:rPr>
        <w:t xml:space="preserve"> </w:t>
      </w:r>
      <w:r>
        <w:t>and</w:t>
      </w:r>
      <w:r>
        <w:rPr>
          <w:spacing w:val="-3"/>
        </w:rPr>
        <w:t xml:space="preserve"> </w:t>
      </w:r>
      <w:r>
        <w:t>American</w:t>
      </w:r>
      <w:r>
        <w:rPr>
          <w:spacing w:val="-2"/>
        </w:rPr>
        <w:t xml:space="preserve"> </w:t>
      </w:r>
      <w:r>
        <w:t>Finance</w:t>
      </w:r>
      <w:r>
        <w:rPr>
          <w:spacing w:val="-3"/>
        </w:rPr>
        <w:t xml:space="preserve"> </w:t>
      </w:r>
      <w:r>
        <w:t>Association,</w:t>
      </w:r>
      <w:r>
        <w:rPr>
          <w:spacing w:val="-2"/>
        </w:rPr>
        <w:t xml:space="preserve"> </w:t>
      </w:r>
      <w:r>
        <w:t>San</w:t>
      </w:r>
      <w:r>
        <w:rPr>
          <w:spacing w:val="-3"/>
        </w:rPr>
        <w:t xml:space="preserve"> </w:t>
      </w:r>
      <w:r>
        <w:t>Francisco,</w:t>
      </w:r>
      <w:r>
        <w:rPr>
          <w:spacing w:val="-2"/>
        </w:rPr>
        <w:t xml:space="preserve"> </w:t>
      </w:r>
      <w:r>
        <w:t>28</w:t>
      </w:r>
      <w:r>
        <w:rPr>
          <w:spacing w:val="-3"/>
        </w:rPr>
        <w:t xml:space="preserve"> </w:t>
      </w:r>
      <w:r>
        <w:rPr>
          <w:spacing w:val="-2"/>
        </w:rPr>
        <w:t>December,</w:t>
      </w:r>
    </w:p>
    <w:p w14:paraId="41A8A53F" w14:textId="77777777" w:rsidR="00C67C54" w:rsidRDefault="00C67C54">
      <w:pPr>
        <w:pStyle w:val="Corpsdetexte"/>
        <w:spacing w:line="379" w:lineRule="auto"/>
        <w:ind w:left="569" w:right="698"/>
      </w:pPr>
      <w:hyperlink r:id="rId39">
        <w:r>
          <w:rPr>
            <w:color w:val="0000FF"/>
            <w:spacing w:val="-2"/>
            <w:u w:val="single" w:color="0000FF"/>
          </w:rPr>
          <w:t>https://fraser.stlouisfed.org/title/statements-speeches-paul-a-volcker-451/survive-</w:t>
        </w:r>
      </w:hyperlink>
      <w:r w:rsidR="00000000">
        <w:rPr>
          <w:color w:val="0000FF"/>
          <w:spacing w:val="-2"/>
          <w:u w:val="single" w:color="0000FF"/>
        </w:rPr>
        <w:t>prosperity-8287</w:t>
      </w:r>
    </w:p>
    <w:sectPr w:rsidR="00C67C54">
      <w:pgSz w:w="11910" w:h="16840"/>
      <w:pgMar w:top="1940" w:right="1275" w:bottom="760" w:left="1417" w:header="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6D86" w14:textId="77777777" w:rsidR="00685CA0" w:rsidRDefault="00685CA0">
      <w:r>
        <w:separator/>
      </w:r>
    </w:p>
  </w:endnote>
  <w:endnote w:type="continuationSeparator" w:id="0">
    <w:p w14:paraId="689F430F" w14:textId="77777777" w:rsidR="00685CA0" w:rsidRDefault="00685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8852" w14:textId="77777777" w:rsidR="00C67C54" w:rsidRDefault="00000000">
    <w:pPr>
      <w:pStyle w:val="Corpsdetexte"/>
      <w:spacing w:line="14" w:lineRule="auto"/>
      <w:rPr>
        <w:sz w:val="20"/>
      </w:rPr>
    </w:pPr>
    <w:r>
      <w:rPr>
        <w:noProof/>
        <w:sz w:val="20"/>
      </w:rPr>
      <mc:AlternateContent>
        <mc:Choice Requires="wps">
          <w:drawing>
            <wp:anchor distT="0" distB="0" distL="0" distR="0" simplePos="0" relativeHeight="487410176" behindDoc="1" locked="0" layoutInCell="1" allowOverlap="1" wp14:anchorId="05E3A04B" wp14:editId="08891BBD">
              <wp:simplePos x="0" y="0"/>
              <wp:positionH relativeFrom="page">
                <wp:posOffset>956563</wp:posOffset>
              </wp:positionH>
              <wp:positionV relativeFrom="page">
                <wp:posOffset>10192563</wp:posOffset>
              </wp:positionV>
              <wp:extent cx="694055" cy="16256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055" cy="162560"/>
                      </a:xfrm>
                      <a:prstGeom prst="rect">
                        <a:avLst/>
                      </a:prstGeom>
                    </wps:spPr>
                    <wps:txbx>
                      <w:txbxContent>
                        <w:p w14:paraId="5004AE3A" w14:textId="77777777" w:rsidR="00C67C54" w:rsidRDefault="00C67C54">
                          <w:pPr>
                            <w:spacing w:before="32"/>
                            <w:ind w:left="20"/>
                            <w:rPr>
                              <w:rFonts w:ascii="Tahoma"/>
                              <w:sz w:val="16"/>
                            </w:rPr>
                          </w:pPr>
                          <w:hyperlink r:id="rId1">
                            <w:r>
                              <w:rPr>
                                <w:rFonts w:ascii="Tahoma"/>
                                <w:spacing w:val="-2"/>
                                <w:sz w:val="16"/>
                              </w:rPr>
                              <w:t>www.iei1946.it</w:t>
                            </w:r>
                          </w:hyperlink>
                        </w:p>
                      </w:txbxContent>
                    </wps:txbx>
                    <wps:bodyPr wrap="square" lIns="0" tIns="0" rIns="0" bIns="0" rtlCol="0">
                      <a:noAutofit/>
                    </wps:bodyPr>
                  </wps:wsp>
                </a:graphicData>
              </a:graphic>
            </wp:anchor>
          </w:drawing>
        </mc:Choice>
        <mc:Fallback>
          <w:pict>
            <v:shapetype w14:anchorId="05E3A04B" id="_x0000_t202" coordsize="21600,21600" o:spt="202" path="m,l,21600r21600,l21600,xe">
              <v:stroke joinstyle="miter"/>
              <v:path gradientshapeok="t" o:connecttype="rect"/>
            </v:shapetype>
            <v:shape id="Textbox 15" o:spid="_x0000_s1026" type="#_x0000_t202" style="position:absolute;margin-left:75.3pt;margin-top:802.55pt;width:54.65pt;height:12.8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" filled="f" stroked="f">
              <v:textbox inset="0,0,0,0">
                <w:txbxContent>
                  <w:p w14:paraId="5004AE3A" w14:textId="77777777" w:rsidR="00C67C54" w:rsidRDefault="00C67C54">
                    <w:pPr>
                      <w:spacing w:before="32"/>
                      <w:ind w:left="20"/>
                      <w:rPr>
                        <w:rFonts w:ascii="Tahoma"/>
                        <w:sz w:val="16"/>
                      </w:rPr>
                    </w:pPr>
                    <w:hyperlink r:id="rId2">
                      <w:r>
                        <w:rPr>
                          <w:rFonts w:ascii="Tahoma"/>
                          <w:spacing w:val="-2"/>
                          <w:sz w:val="16"/>
                        </w:rPr>
                        <w:t>www.iei1946.it</w:t>
                      </w:r>
                    </w:hyperlink>
                  </w:p>
                </w:txbxContent>
              </v:textbox>
              <w10:wrap anchorx="page" anchory="page"/>
            </v:shape>
          </w:pict>
        </mc:Fallback>
      </mc:AlternateContent>
    </w:r>
    <w:r>
      <w:rPr>
        <w:noProof/>
        <w:sz w:val="20"/>
      </w:rPr>
      <mc:AlternateContent>
        <mc:Choice Requires="wps">
          <w:drawing>
            <wp:anchor distT="0" distB="0" distL="0" distR="0" simplePos="0" relativeHeight="487410688" behindDoc="1" locked="0" layoutInCell="1" allowOverlap="1" wp14:anchorId="0EF9E7DF" wp14:editId="2441110F">
              <wp:simplePos x="0" y="0"/>
              <wp:positionH relativeFrom="page">
                <wp:posOffset>4700461</wp:posOffset>
              </wp:positionH>
              <wp:positionV relativeFrom="page">
                <wp:posOffset>10192563</wp:posOffset>
              </wp:positionV>
              <wp:extent cx="1899920" cy="16256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9920" cy="162560"/>
                      </a:xfrm>
                      <a:prstGeom prst="rect">
                        <a:avLst/>
                      </a:prstGeom>
                    </wps:spPr>
                    <wps:txbx>
                      <w:txbxContent>
                        <w:p w14:paraId="41FA15C7" w14:textId="77777777" w:rsidR="00C67C54" w:rsidRDefault="00000000">
                          <w:pPr>
                            <w:spacing w:before="32"/>
                            <w:ind w:left="20"/>
                            <w:rPr>
                              <w:rFonts w:ascii="Tahoma" w:hAnsi="Tahoma"/>
                              <w:sz w:val="16"/>
                            </w:rPr>
                          </w:pPr>
                          <w:r>
                            <w:rPr>
                              <w:rFonts w:ascii="Tahoma" w:hAnsi="Tahoma"/>
                              <w:sz w:val="16"/>
                            </w:rPr>
                            <w:t>©</w:t>
                          </w:r>
                          <w:r>
                            <w:rPr>
                              <w:rFonts w:ascii="Tahoma" w:hAnsi="Tahoma"/>
                              <w:spacing w:val="-4"/>
                              <w:sz w:val="16"/>
                            </w:rPr>
                            <w:t xml:space="preserve"> </w:t>
                          </w:r>
                          <w:r>
                            <w:rPr>
                              <w:rFonts w:ascii="Tahoma" w:hAnsi="Tahoma"/>
                              <w:sz w:val="16"/>
                            </w:rPr>
                            <w:t>2026.</w:t>
                          </w:r>
                          <w:r>
                            <w:rPr>
                              <w:rFonts w:ascii="Tahoma" w:hAnsi="Tahoma"/>
                              <w:spacing w:val="-3"/>
                              <w:sz w:val="16"/>
                            </w:rPr>
                            <w:t xml:space="preserve"> </w:t>
                          </w:r>
                          <w:r>
                            <w:rPr>
                              <w:rFonts w:ascii="Tahoma" w:hAnsi="Tahoma"/>
                              <w:sz w:val="16"/>
                            </w:rPr>
                            <w:t>Camera</w:t>
                          </w:r>
                          <w:r>
                            <w:rPr>
                              <w:rFonts w:ascii="Tahoma" w:hAnsi="Tahoma"/>
                              <w:spacing w:val="-2"/>
                              <w:sz w:val="16"/>
                            </w:rPr>
                            <w:t xml:space="preserve"> </w:t>
                          </w:r>
                          <w:r>
                            <w:rPr>
                              <w:rFonts w:ascii="Tahoma" w:hAnsi="Tahoma"/>
                              <w:sz w:val="16"/>
                            </w:rPr>
                            <w:t>di</w:t>
                          </w:r>
                          <w:r>
                            <w:rPr>
                              <w:rFonts w:ascii="Tahoma" w:hAnsi="Tahoma"/>
                              <w:spacing w:val="-3"/>
                              <w:sz w:val="16"/>
                            </w:rPr>
                            <w:t xml:space="preserve"> </w:t>
                          </w:r>
                          <w:r>
                            <w:rPr>
                              <w:rFonts w:ascii="Tahoma" w:hAnsi="Tahoma"/>
                              <w:sz w:val="16"/>
                            </w:rPr>
                            <w:t>Commercio</w:t>
                          </w:r>
                          <w:r>
                            <w:rPr>
                              <w:rFonts w:ascii="Tahoma" w:hAnsi="Tahoma"/>
                              <w:spacing w:val="-3"/>
                              <w:sz w:val="16"/>
                            </w:rPr>
                            <w:t xml:space="preserve"> </w:t>
                          </w:r>
                          <w:r>
                            <w:rPr>
                              <w:rFonts w:ascii="Tahoma" w:hAnsi="Tahoma"/>
                              <w:sz w:val="16"/>
                            </w:rPr>
                            <w:t>di</w:t>
                          </w:r>
                          <w:r>
                            <w:rPr>
                              <w:rFonts w:ascii="Tahoma" w:hAnsi="Tahoma"/>
                              <w:spacing w:val="-2"/>
                              <w:sz w:val="16"/>
                            </w:rPr>
                            <w:t xml:space="preserve"> Genova</w:t>
                          </w:r>
                        </w:p>
                      </w:txbxContent>
                    </wps:txbx>
                    <wps:bodyPr wrap="square" lIns="0" tIns="0" rIns="0" bIns="0" rtlCol="0">
                      <a:noAutofit/>
                    </wps:bodyPr>
                  </wps:wsp>
                </a:graphicData>
              </a:graphic>
            </wp:anchor>
          </w:drawing>
        </mc:Choice>
        <mc:Fallback>
          <w:pict>
            <v:shape w14:anchorId="0EF9E7DF" id="Textbox 16" o:spid="_x0000_s1027" type="#_x0000_t202" style="position:absolute;margin-left:370.1pt;margin-top:802.55pt;width:149.6pt;height:12.8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" filled="f" stroked="f">
              <v:textbox inset="0,0,0,0">
                <w:txbxContent>
                  <w:p w14:paraId="41FA15C7" w14:textId="77777777" w:rsidR="00C67C54" w:rsidRDefault="00000000">
                    <w:pPr>
                      <w:spacing w:before="32"/>
                      <w:ind w:left="20"/>
                      <w:rPr>
                        <w:rFonts w:ascii="Tahoma" w:hAnsi="Tahoma"/>
                        <w:sz w:val="16"/>
                      </w:rPr>
                    </w:pPr>
                    <w:r>
                      <w:rPr>
                        <w:rFonts w:ascii="Tahoma" w:hAnsi="Tahoma"/>
                        <w:sz w:val="16"/>
                      </w:rPr>
                      <w:t>©</w:t>
                    </w:r>
                    <w:r>
                      <w:rPr>
                        <w:rFonts w:ascii="Tahoma" w:hAnsi="Tahoma"/>
                        <w:spacing w:val="-4"/>
                        <w:sz w:val="16"/>
                      </w:rPr>
                      <w:t xml:space="preserve"> </w:t>
                    </w:r>
                    <w:r>
                      <w:rPr>
                        <w:rFonts w:ascii="Tahoma" w:hAnsi="Tahoma"/>
                        <w:sz w:val="16"/>
                      </w:rPr>
                      <w:t>2026.</w:t>
                    </w:r>
                    <w:r>
                      <w:rPr>
                        <w:rFonts w:ascii="Tahoma" w:hAnsi="Tahoma"/>
                        <w:spacing w:val="-3"/>
                        <w:sz w:val="16"/>
                      </w:rPr>
                      <w:t xml:space="preserve"> </w:t>
                    </w:r>
                    <w:r>
                      <w:rPr>
                        <w:rFonts w:ascii="Tahoma" w:hAnsi="Tahoma"/>
                        <w:sz w:val="16"/>
                      </w:rPr>
                      <w:t>Camera</w:t>
                    </w:r>
                    <w:r>
                      <w:rPr>
                        <w:rFonts w:ascii="Tahoma" w:hAnsi="Tahoma"/>
                        <w:spacing w:val="-2"/>
                        <w:sz w:val="16"/>
                      </w:rPr>
                      <w:t xml:space="preserve"> </w:t>
                    </w:r>
                    <w:r>
                      <w:rPr>
                        <w:rFonts w:ascii="Tahoma" w:hAnsi="Tahoma"/>
                        <w:sz w:val="16"/>
                      </w:rPr>
                      <w:t>di</w:t>
                    </w:r>
                    <w:r>
                      <w:rPr>
                        <w:rFonts w:ascii="Tahoma" w:hAnsi="Tahoma"/>
                        <w:spacing w:val="-3"/>
                        <w:sz w:val="16"/>
                      </w:rPr>
                      <w:t xml:space="preserve"> </w:t>
                    </w:r>
                    <w:r>
                      <w:rPr>
                        <w:rFonts w:ascii="Tahoma" w:hAnsi="Tahoma"/>
                        <w:sz w:val="16"/>
                      </w:rPr>
                      <w:t>Commercio</w:t>
                    </w:r>
                    <w:r>
                      <w:rPr>
                        <w:rFonts w:ascii="Tahoma" w:hAnsi="Tahoma"/>
                        <w:spacing w:val="-3"/>
                        <w:sz w:val="16"/>
                      </w:rPr>
                      <w:t xml:space="preserve"> </w:t>
                    </w:r>
                    <w:r>
                      <w:rPr>
                        <w:rFonts w:ascii="Tahoma" w:hAnsi="Tahoma"/>
                        <w:sz w:val="16"/>
                      </w:rPr>
                      <w:t>di</w:t>
                    </w:r>
                    <w:r>
                      <w:rPr>
                        <w:rFonts w:ascii="Tahoma" w:hAnsi="Tahoma"/>
                        <w:spacing w:val="-2"/>
                        <w:sz w:val="16"/>
                      </w:rPr>
                      <w:t xml:space="preserve"> Genova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712A" w14:textId="77777777" w:rsidR="00C67C54" w:rsidRDefault="00000000">
    <w:pPr>
      <w:pStyle w:val="Corpsdetexte"/>
      <w:spacing w:line="14" w:lineRule="auto"/>
      <w:rPr>
        <w:sz w:val="20"/>
      </w:rPr>
    </w:pPr>
    <w:r>
      <w:rPr>
        <w:noProof/>
        <w:sz w:val="20"/>
      </w:rPr>
      <mc:AlternateContent>
        <mc:Choice Requires="wps">
          <w:drawing>
            <wp:anchor distT="0" distB="0" distL="0" distR="0" simplePos="0" relativeHeight="487409152" behindDoc="1" locked="0" layoutInCell="1" allowOverlap="1" wp14:anchorId="6F382504" wp14:editId="57F10FF9">
              <wp:simplePos x="0" y="0"/>
              <wp:positionH relativeFrom="page">
                <wp:posOffset>956563</wp:posOffset>
              </wp:positionH>
              <wp:positionV relativeFrom="page">
                <wp:posOffset>10054641</wp:posOffset>
              </wp:positionV>
              <wp:extent cx="2811780" cy="1625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1780" cy="162560"/>
                      </a:xfrm>
                      <a:prstGeom prst="rect">
                        <a:avLst/>
                      </a:prstGeom>
                    </wps:spPr>
                    <wps:txbx>
                      <w:txbxContent>
                        <w:p w14:paraId="005B8842" w14:textId="77777777" w:rsidR="00C67C54" w:rsidRDefault="00000000">
                          <w:pPr>
                            <w:spacing w:before="32"/>
                            <w:ind w:left="20"/>
                            <w:rPr>
                              <w:rFonts w:ascii="Tahoma"/>
                              <w:sz w:val="16"/>
                            </w:rPr>
                          </w:pPr>
                          <w:r>
                            <w:rPr>
                              <w:rFonts w:ascii="Tahoma"/>
                              <w:spacing w:val="-2"/>
                              <w:sz w:val="16"/>
                            </w:rPr>
                            <w:t>ECONOMIA</w:t>
                          </w:r>
                          <w:r>
                            <w:rPr>
                              <w:rFonts w:ascii="Tahoma"/>
                              <w:sz w:val="16"/>
                            </w:rPr>
                            <w:t xml:space="preserve"> </w:t>
                          </w:r>
                          <w:r>
                            <w:rPr>
                              <w:rFonts w:ascii="Tahoma"/>
                              <w:spacing w:val="-2"/>
                              <w:sz w:val="16"/>
                            </w:rPr>
                            <w:t>INTERNAZIONALE</w:t>
                          </w:r>
                          <w:r>
                            <w:rPr>
                              <w:rFonts w:ascii="Tahoma"/>
                              <w:spacing w:val="-1"/>
                              <w:sz w:val="16"/>
                            </w:rPr>
                            <w:t xml:space="preserve"> </w:t>
                          </w:r>
                          <w:r>
                            <w:rPr>
                              <w:rFonts w:ascii="Tahoma"/>
                              <w:spacing w:val="-2"/>
                              <w:sz w:val="16"/>
                            </w:rPr>
                            <w:t>/</w:t>
                          </w:r>
                          <w:r>
                            <w:rPr>
                              <w:rFonts w:ascii="Tahoma"/>
                              <w:sz w:val="16"/>
                            </w:rPr>
                            <w:t xml:space="preserve"> </w:t>
                          </w:r>
                          <w:r>
                            <w:rPr>
                              <w:rFonts w:ascii="Tahoma"/>
                              <w:spacing w:val="-2"/>
                              <w:sz w:val="16"/>
                            </w:rPr>
                            <w:t>INTERNATIONAL</w:t>
                          </w:r>
                          <w:r>
                            <w:rPr>
                              <w:rFonts w:ascii="Tahoma"/>
                              <w:sz w:val="16"/>
                            </w:rPr>
                            <w:t xml:space="preserve"> </w:t>
                          </w:r>
                          <w:r>
                            <w:rPr>
                              <w:rFonts w:ascii="Tahoma"/>
                              <w:spacing w:val="-2"/>
                              <w:sz w:val="16"/>
                            </w:rPr>
                            <w:t>ECONOMICS</w:t>
                          </w:r>
                        </w:p>
                      </w:txbxContent>
                    </wps:txbx>
                    <wps:bodyPr wrap="square" lIns="0" tIns="0" rIns="0" bIns="0" rtlCol="0">
                      <a:noAutofit/>
                    </wps:bodyPr>
                  </wps:wsp>
                </a:graphicData>
              </a:graphic>
            </wp:anchor>
          </w:drawing>
        </mc:Choice>
        <mc:Fallback>
          <w:pict>
            <v:shapetype w14:anchorId="6F382504" id="_x0000_t202" coordsize="21600,21600" o:spt="202" path="m,l,21600r21600,l21600,xe">
              <v:stroke joinstyle="miter"/>
              <v:path gradientshapeok="t" o:connecttype="rect"/>
            </v:shapetype>
            <v:shape id="Textbox 13" o:spid="_x0000_s1028" type="#_x0000_t202" style="position:absolute;margin-left:75.3pt;margin-top:791.7pt;width:221.4pt;height:12.8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" filled="f" stroked="f">
              <v:textbox inset="0,0,0,0">
                <w:txbxContent>
                  <w:p w14:paraId="005B8842" w14:textId="77777777" w:rsidR="00C67C54" w:rsidRDefault="00000000">
                    <w:pPr>
                      <w:spacing w:before="32"/>
                      <w:ind w:left="20"/>
                      <w:rPr>
                        <w:rFonts w:ascii="Tahoma"/>
                        <w:sz w:val="16"/>
                      </w:rPr>
                    </w:pPr>
                    <w:r>
                      <w:rPr>
                        <w:rFonts w:ascii="Tahoma"/>
                        <w:spacing w:val="-2"/>
                        <w:sz w:val="16"/>
                      </w:rPr>
                      <w:t>ECONOMIA</w:t>
                    </w:r>
                    <w:r>
                      <w:rPr>
                        <w:rFonts w:ascii="Tahoma"/>
                        <w:sz w:val="16"/>
                      </w:rPr>
                      <w:t xml:space="preserve"> </w:t>
                    </w:r>
                    <w:r>
                      <w:rPr>
                        <w:rFonts w:ascii="Tahoma"/>
                        <w:spacing w:val="-2"/>
                        <w:sz w:val="16"/>
                      </w:rPr>
                      <w:t>INTERNAZIONALE</w:t>
                    </w:r>
                    <w:r>
                      <w:rPr>
                        <w:rFonts w:ascii="Tahoma"/>
                        <w:spacing w:val="-1"/>
                        <w:sz w:val="16"/>
                      </w:rPr>
                      <w:t xml:space="preserve"> </w:t>
                    </w:r>
                    <w:r>
                      <w:rPr>
                        <w:rFonts w:ascii="Tahoma"/>
                        <w:spacing w:val="-2"/>
                        <w:sz w:val="16"/>
                      </w:rPr>
                      <w:t>/</w:t>
                    </w:r>
                    <w:r>
                      <w:rPr>
                        <w:rFonts w:ascii="Tahoma"/>
                        <w:sz w:val="16"/>
                      </w:rPr>
                      <w:t xml:space="preserve"> </w:t>
                    </w:r>
                    <w:r>
                      <w:rPr>
                        <w:rFonts w:ascii="Tahoma"/>
                        <w:spacing w:val="-2"/>
                        <w:sz w:val="16"/>
                      </w:rPr>
                      <w:t>INTERNATIONAL</w:t>
                    </w:r>
                    <w:r>
                      <w:rPr>
                        <w:rFonts w:ascii="Tahoma"/>
                        <w:sz w:val="16"/>
                      </w:rPr>
                      <w:t xml:space="preserve"> </w:t>
                    </w:r>
                    <w:r>
                      <w:rPr>
                        <w:rFonts w:ascii="Tahoma"/>
                        <w:spacing w:val="-2"/>
                        <w:sz w:val="16"/>
                      </w:rPr>
                      <w:t>ECONOMICS</w:t>
                    </w:r>
                  </w:p>
                </w:txbxContent>
              </v:textbox>
              <w10:wrap anchorx="page" anchory="page"/>
            </v:shape>
          </w:pict>
        </mc:Fallback>
      </mc:AlternateContent>
    </w:r>
    <w:r>
      <w:rPr>
        <w:noProof/>
        <w:sz w:val="20"/>
      </w:rPr>
      <mc:AlternateContent>
        <mc:Choice Requires="wps">
          <w:drawing>
            <wp:anchor distT="0" distB="0" distL="0" distR="0" simplePos="0" relativeHeight="487409664" behindDoc="1" locked="0" layoutInCell="1" allowOverlap="1" wp14:anchorId="55FEB7AB" wp14:editId="27D910C3">
              <wp:simplePos x="0" y="0"/>
              <wp:positionH relativeFrom="page">
                <wp:posOffset>4597437</wp:posOffset>
              </wp:positionH>
              <wp:positionV relativeFrom="page">
                <wp:posOffset>10054641</wp:posOffset>
              </wp:positionV>
              <wp:extent cx="2005330" cy="30035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330" cy="300355"/>
                      </a:xfrm>
                      <a:prstGeom prst="rect">
                        <a:avLst/>
                      </a:prstGeom>
                    </wps:spPr>
                    <wps:txbx>
                      <w:txbxContent>
                        <w:p w14:paraId="20CC0DC3" w14:textId="77777777" w:rsidR="00C67C54" w:rsidRDefault="00000000">
                          <w:pPr>
                            <w:spacing w:before="32" w:line="268" w:lineRule="auto"/>
                            <w:ind w:left="713" w:hanging="694"/>
                            <w:rPr>
                              <w:rFonts w:ascii="Tahoma" w:hAnsi="Tahoma"/>
                              <w:sz w:val="16"/>
                            </w:rPr>
                          </w:pPr>
                          <w:r>
                            <w:rPr>
                              <w:rFonts w:ascii="Tahoma" w:hAnsi="Tahoma"/>
                              <w:sz w:val="16"/>
                            </w:rPr>
                            <w:t>2026 Volume 79,</w:t>
                          </w:r>
                          <w:r>
                            <w:rPr>
                              <w:rFonts w:ascii="Tahoma" w:hAnsi="Tahoma"/>
                              <w:spacing w:val="-2"/>
                              <w:sz w:val="16"/>
                            </w:rPr>
                            <w:t xml:space="preserve"> </w:t>
                          </w:r>
                          <w:r>
                            <w:rPr>
                              <w:rFonts w:ascii="Tahoma" w:hAnsi="Tahoma"/>
                              <w:sz w:val="16"/>
                            </w:rPr>
                            <w:t>Issue</w:t>
                          </w:r>
                          <w:r>
                            <w:rPr>
                              <w:rFonts w:ascii="Tahoma" w:hAnsi="Tahoma"/>
                              <w:spacing w:val="-1"/>
                              <w:sz w:val="16"/>
                            </w:rPr>
                            <w:t xml:space="preserve"> </w:t>
                          </w:r>
                          <w:r>
                            <w:rPr>
                              <w:rFonts w:ascii="Tahoma" w:hAnsi="Tahoma"/>
                              <w:sz w:val="16"/>
                            </w:rPr>
                            <w:t xml:space="preserve">1 – February, 37-50 </w:t>
                          </w:r>
                          <w:r>
                            <w:rPr>
                              <w:rFonts w:ascii="Tahoma" w:hAnsi="Tahoma"/>
                              <w:w w:val="90"/>
                              <w:sz w:val="16"/>
                            </w:rPr>
                            <w:t>DOI:</w:t>
                          </w:r>
                          <w:r>
                            <w:rPr>
                              <w:rFonts w:ascii="Tahoma" w:hAnsi="Tahoma"/>
                              <w:spacing w:val="-6"/>
                              <w:w w:val="90"/>
                              <w:sz w:val="16"/>
                            </w:rPr>
                            <w:t xml:space="preserve"> </w:t>
                          </w:r>
                          <w:r>
                            <w:rPr>
                              <w:rFonts w:ascii="Tahoma" w:hAnsi="Tahoma"/>
                              <w:spacing w:val="-2"/>
                              <w:w w:val="105"/>
                              <w:sz w:val="16"/>
                            </w:rPr>
                            <w:t>10.65644/EIIE.079.01.0037</w:t>
                          </w:r>
                        </w:p>
                      </w:txbxContent>
                    </wps:txbx>
                    <wps:bodyPr wrap="square" lIns="0" tIns="0" rIns="0" bIns="0" rtlCol="0">
                      <a:noAutofit/>
                    </wps:bodyPr>
                  </wps:wsp>
                </a:graphicData>
              </a:graphic>
            </wp:anchor>
          </w:drawing>
        </mc:Choice>
        <mc:Fallback>
          <w:pict>
            <v:shape w14:anchorId="55FEB7AB" id="Textbox 14" o:spid="_x0000_s1029" type="#_x0000_t202" style="position:absolute;margin-left:362pt;margin-top:791.7pt;width:157.9pt;height:23.6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" filled="f" stroked="f">
              <v:textbox inset="0,0,0,0">
                <w:txbxContent>
                  <w:p w14:paraId="20CC0DC3" w14:textId="77777777" w:rsidR="00C67C54" w:rsidRDefault="00000000">
                    <w:pPr>
                      <w:spacing w:before="32" w:line="268" w:lineRule="auto"/>
                      <w:ind w:left="713" w:hanging="694"/>
                      <w:rPr>
                        <w:rFonts w:ascii="Tahoma" w:hAnsi="Tahoma"/>
                        <w:sz w:val="16"/>
                      </w:rPr>
                    </w:pPr>
                    <w:r>
                      <w:rPr>
                        <w:rFonts w:ascii="Tahoma" w:hAnsi="Tahoma"/>
                        <w:sz w:val="16"/>
                      </w:rPr>
                      <w:t>2026 Volume 79,</w:t>
                    </w:r>
                    <w:r>
                      <w:rPr>
                        <w:rFonts w:ascii="Tahoma" w:hAnsi="Tahoma"/>
                        <w:spacing w:val="-2"/>
                        <w:sz w:val="16"/>
                      </w:rPr>
                      <w:t xml:space="preserve"> </w:t>
                    </w:r>
                    <w:r>
                      <w:rPr>
                        <w:rFonts w:ascii="Tahoma" w:hAnsi="Tahoma"/>
                        <w:sz w:val="16"/>
                      </w:rPr>
                      <w:t>Issue</w:t>
                    </w:r>
                    <w:r>
                      <w:rPr>
                        <w:rFonts w:ascii="Tahoma" w:hAnsi="Tahoma"/>
                        <w:spacing w:val="-1"/>
                        <w:sz w:val="16"/>
                      </w:rPr>
                      <w:t xml:space="preserve"> </w:t>
                    </w:r>
                    <w:r>
                      <w:rPr>
                        <w:rFonts w:ascii="Tahoma" w:hAnsi="Tahoma"/>
                        <w:sz w:val="16"/>
                      </w:rPr>
                      <w:t xml:space="preserve">1 – February, 37-50 </w:t>
                    </w:r>
                    <w:r>
                      <w:rPr>
                        <w:rFonts w:ascii="Tahoma" w:hAnsi="Tahoma"/>
                        <w:w w:val="90"/>
                        <w:sz w:val="16"/>
                      </w:rPr>
                      <w:t>DOI:</w:t>
                    </w:r>
                    <w:r>
                      <w:rPr>
                        <w:rFonts w:ascii="Tahoma" w:hAnsi="Tahoma"/>
                        <w:spacing w:val="-6"/>
                        <w:w w:val="90"/>
                        <w:sz w:val="16"/>
                      </w:rPr>
                      <w:t xml:space="preserve"> </w:t>
                    </w:r>
                    <w:r>
                      <w:rPr>
                        <w:rFonts w:ascii="Tahoma" w:hAnsi="Tahoma"/>
                        <w:spacing w:val="-2"/>
                        <w:w w:val="105"/>
                        <w:sz w:val="16"/>
                      </w:rPr>
                      <w:t>10.65644/EIIE.079.01.0037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372BC" w14:textId="77777777" w:rsidR="00685CA0" w:rsidRDefault="00685CA0">
      <w:r>
        <w:separator/>
      </w:r>
    </w:p>
  </w:footnote>
  <w:footnote w:type="continuationSeparator" w:id="0">
    <w:p w14:paraId="20408D86" w14:textId="77777777" w:rsidR="00685CA0" w:rsidRDefault="00685C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54"/>
    <w:rsid w:val="000D4478"/>
    <w:rsid w:val="00122212"/>
    <w:rsid w:val="00186C64"/>
    <w:rsid w:val="001B41A8"/>
    <w:rsid w:val="005A2923"/>
    <w:rsid w:val="005C2A7C"/>
    <w:rsid w:val="00685CA0"/>
    <w:rsid w:val="007F7AAD"/>
    <w:rsid w:val="00866EA2"/>
    <w:rsid w:val="0097763B"/>
    <w:rsid w:val="009806DD"/>
    <w:rsid w:val="00A204E3"/>
    <w:rsid w:val="00B74837"/>
    <w:rsid w:val="00C30684"/>
    <w:rsid w:val="00C67C54"/>
    <w:rsid w:val="00CE26E7"/>
    <w:rsid w:val="00D73ABC"/>
    <w:rsid w:val="00F418F0"/>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D8AD5"/>
  <w15:docId w15:val="{123249D8-C0DD-42C5-9589-0FF0960F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Titre1">
    <w:name w:val="heading 1"/>
    <w:basedOn w:val="Normal"/>
    <w:uiPriority w:val="9"/>
    <w:qFormat/>
    <w:pPr>
      <w:ind w:left="1"/>
      <w:outlineLvl w:val="0"/>
    </w:pPr>
    <w:rPr>
      <w:i/>
      <w:iCs/>
      <w:sz w:val="23"/>
      <w:szCs w:val="23"/>
    </w:rPr>
  </w:style>
  <w:style w:type="paragraph" w:styleId="Titre2">
    <w:name w:val="heading 2"/>
    <w:basedOn w:val="Normal"/>
    <w:next w:val="Normal"/>
    <w:link w:val="Titre2Car"/>
    <w:uiPriority w:val="9"/>
    <w:semiHidden/>
    <w:unhideWhenUsed/>
    <w:qFormat/>
    <w:rsid w:val="00F418F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F418F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ind w:left="93" w:right="230"/>
      <w:jc w:val="center"/>
    </w:pPr>
    <w:rPr>
      <w:sz w:val="32"/>
      <w:szCs w:val="32"/>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F418F0"/>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semiHidden/>
    <w:rsid w:val="00F418F0"/>
    <w:rPr>
      <w:rFonts w:asciiTheme="majorHAnsi" w:eastAsiaTheme="majorEastAsia" w:hAnsiTheme="majorHAnsi" w:cstheme="majorBidi"/>
      <w:color w:val="243F60" w:themeColor="accent1" w:themeShade="7F"/>
      <w:sz w:val="24"/>
      <w:szCs w:val="24"/>
    </w:rPr>
  </w:style>
  <w:style w:type="paragraph" w:styleId="En-tte">
    <w:name w:val="header"/>
    <w:basedOn w:val="Normal"/>
    <w:link w:val="En-tteCar"/>
    <w:uiPriority w:val="99"/>
    <w:unhideWhenUsed/>
    <w:rsid w:val="00CE26E7"/>
    <w:pPr>
      <w:tabs>
        <w:tab w:val="center" w:pos="4536"/>
        <w:tab w:val="right" w:pos="9072"/>
      </w:tabs>
    </w:pPr>
  </w:style>
  <w:style w:type="character" w:customStyle="1" w:styleId="En-tteCar">
    <w:name w:val="En-tête Car"/>
    <w:basedOn w:val="Policepardfaut"/>
    <w:link w:val="En-tte"/>
    <w:uiPriority w:val="99"/>
    <w:rsid w:val="00CE26E7"/>
    <w:rPr>
      <w:rFonts w:ascii="Georgia" w:eastAsia="Georgia" w:hAnsi="Georgia" w:cs="Georgia"/>
    </w:rPr>
  </w:style>
  <w:style w:type="paragraph" w:styleId="Pieddepage">
    <w:name w:val="footer"/>
    <w:basedOn w:val="Normal"/>
    <w:link w:val="PieddepageCar"/>
    <w:uiPriority w:val="99"/>
    <w:unhideWhenUsed/>
    <w:rsid w:val="00CE26E7"/>
    <w:pPr>
      <w:tabs>
        <w:tab w:val="center" w:pos="4536"/>
        <w:tab w:val="right" w:pos="9072"/>
      </w:tabs>
    </w:pPr>
  </w:style>
  <w:style w:type="character" w:customStyle="1" w:styleId="PieddepageCar">
    <w:name w:val="Pied de page Car"/>
    <w:basedOn w:val="Policepardfaut"/>
    <w:link w:val="Pieddepage"/>
    <w:uiPriority w:val="99"/>
    <w:rsid w:val="00CE26E7"/>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s.org/publ/work440.pdf" TargetMode="External"/><Relationship Id="rId18" Type="http://schemas.openxmlformats.org/officeDocument/2006/relationships/hyperlink" Target="https://doi.org/10.1111/1759-" TargetMode="External"/><Relationship Id="rId26" Type="http://schemas.openxmlformats.org/officeDocument/2006/relationships/hyperlink" Target="https://www.bis.org/publ/work1090.htm" TargetMode="External"/><Relationship Id="rId39" Type="http://schemas.openxmlformats.org/officeDocument/2006/relationships/hyperlink" Target="https://fraser.stlouisfed.org/title/statements-speeches-paul-a-volcker-451/survive-" TargetMode="External"/><Relationship Id="rId21" Type="http://schemas.openxmlformats.org/officeDocument/2006/relationships/hyperlink" Target="https://www.suerf.org/publications/suerf-policy-notes-and-briefs/monetary-and-fiscal-policy-privileged-powers-entwined-responsibilities/" TargetMode="External"/><Relationship Id="rId34" Type="http://schemas.openxmlformats.org/officeDocument/2006/relationships/hyperlink" Target="https://fraser.stlouisfed.org/title/statements-speeches-alan-greenspan-452/semiannual-monetary-policy-report-congress-8500" TargetMode="External"/><Relationship Id="rId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www.suerf.org/publications/suerf-policy-notes-and-briefs/navigating-by-r-safe-or-hazardous/" TargetMode="External"/><Relationship Id="rId20" Type="http://schemas.openxmlformats.org/officeDocument/2006/relationships/hyperlink" Target="https://www.bis.org/publ/work1230.htm" TargetMode="External"/><Relationship Id="rId29" Type="http://schemas.openxmlformats.org/officeDocument/2006/relationships/hyperlink" Target="https://doi.org/10.2139/ssrn.846305"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s://doi.org/10.1093/cesifo/49.2.181" TargetMode="External"/><Relationship Id="rId24" Type="http://schemas.openxmlformats.org/officeDocument/2006/relationships/hyperlink" Target="https://www.bis.org/publ/qtrpdf/r_qt1503e.htm" TargetMode="External"/><Relationship Id="rId32" Type="http://schemas.openxmlformats.org/officeDocument/2006/relationships/hyperlink" Target="https://www.project-syndicate.org/commentary/inflation-rates-central-bank-by-martin-" TargetMode="External"/><Relationship Id="rId37" Type="http://schemas.openxmlformats.org/officeDocument/2006/relationships/hyperlink" Target="https://www.mulino.it/isbn/9788815130976"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bis.org/publ/work829.htm" TargetMode="External"/><Relationship Id="rId23" Type="http://schemas.openxmlformats.org/officeDocument/2006/relationships/hyperlink" Target="https://www.bis.org/publ/work685.htm" TargetMode="External"/><Relationship Id="rId28" Type="http://schemas.openxmlformats.org/officeDocument/2006/relationships/hyperlink" Target="https://www.bis.org/publ/bppdf/bispap133.htm" TargetMode="External"/><Relationship Id="rId36" Type="http://schemas.openxmlformats.org/officeDocument/2006/relationships/hyperlink" Target="https://voxeu.org/article/stabilities-and-instabilities-macroeconomy" TargetMode="External"/><Relationship Id="rId10" Type="http://schemas.openxmlformats.org/officeDocument/2006/relationships/hyperlink" Target="https://www.bis.org/publ/arpdf/ar2024e2.htm" TargetMode="External"/><Relationship Id="rId19" Type="http://schemas.openxmlformats.org/officeDocument/2006/relationships/hyperlink" Target="https://www.bis.org/publ/work1100.htm" TargetMode="External"/><Relationship Id="rId31" Type="http://schemas.openxmlformats.org/officeDocument/2006/relationships/hyperlink" Target="https://www.bis.org/speeches/sp000921.htm" TargetMode="External"/><Relationship Id="rId4" Type="http://schemas.openxmlformats.org/officeDocument/2006/relationships/footnotes" Target="footnotes.xml"/><Relationship Id="rId9" Type="http://schemas.openxmlformats.org/officeDocument/2006/relationships/hyperlink" Target="https://www.bis.org/publ/arpdf/ar2023e2.htm" TargetMode="External"/><Relationship Id="rId14" Type="http://schemas.openxmlformats.org/officeDocument/2006/relationships/hyperlink" Target="https://www.suerf.org/publications/suerf-policy-notes-and-briefs/central-banking-in-challenging-times/" TargetMode="External"/><Relationship Id="rId22" Type="http://schemas.openxmlformats.org/officeDocument/2006/relationships/hyperlink" Target="https://www.ijcb.org/journal/ijcb22q3a2.htm" TargetMode="External"/><Relationship Id="rId27" Type="http://schemas.openxmlformats.org/officeDocument/2006/relationships/hyperlink" Target="https://www.bis.org/publ/bppdf/bispap01a.pdf" TargetMode="External"/><Relationship Id="rId30" Type="http://schemas.openxmlformats.org/officeDocument/2006/relationships/hyperlink" Target="https://doi.org/10.1016/j.jfs.2011.12.003" TargetMode="External"/><Relationship Id="rId35" Type="http://schemas.openxmlformats.org/officeDocument/2006/relationships/hyperlink" Target="https://d.docs.live.net/284102ed9296a8ad/Home/Speeches" TargetMode="External"/><Relationship Id="rId8" Type="http://schemas.openxmlformats.org/officeDocument/2006/relationships/hyperlink" Target="https://www.ijcb.org/journal/ijcb23q5a2.pdf" TargetMode="External"/><Relationship Id="rId3" Type="http://schemas.openxmlformats.org/officeDocument/2006/relationships/webSettings" Target="webSettings.xml"/><Relationship Id="rId12" Type="http://schemas.openxmlformats.org/officeDocument/2006/relationships/hyperlink" Target="https://doi.org/10.1016/j.jbankfin.2013.07.031" TargetMode="External"/><Relationship Id="rId17" Type="http://schemas.openxmlformats.org/officeDocument/2006/relationships/hyperlink" Target="https://www.bis.org/publ/work982.htm" TargetMode="External"/><Relationship Id="rId25" Type="http://schemas.openxmlformats.org/officeDocument/2006/relationships/hyperlink" Target="https://www.bis.org/publ/work859.pdf" TargetMode="External"/><Relationship Id="rId33" Type="http://schemas.openxmlformats.org/officeDocument/2006/relationships/hyperlink" Target="https://www.bis.org/publ/qtrpdf/r_qt2409b.htm" TargetMode="External"/><Relationship Id="rId38" Type="http://schemas.openxmlformats.org/officeDocument/2006/relationships/hyperlink" Target="https://www.imf.org/external/np/seminars/eng/2015/macro3/index.ht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ei1946.it/" TargetMode="External"/><Relationship Id="rId1" Type="http://schemas.openxmlformats.org/officeDocument/2006/relationships/hyperlink" Target="http://www.iei1946.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5242</Words>
  <Characters>28833</Characters>
  <Application>Microsoft Office Word</Application>
  <DocSecurity>0</DocSecurity>
  <Lines>240</Lines>
  <Paragraphs>68</Paragraphs>
  <ScaleCrop>false</ScaleCrop>
  <HeadingPairs>
    <vt:vector size="2" baseType="variant">
      <vt:variant>
        <vt:lpstr>Titre</vt:lpstr>
      </vt:variant>
      <vt:variant>
        <vt:i4>1</vt:i4>
      </vt:variant>
    </vt:vector>
  </HeadingPairs>
  <TitlesOfParts>
    <vt:vector size="1" baseType="lpstr">
      <vt:lpstr>Microsoft Word - BORIO RIC_FINAL</vt:lpstr>
    </vt:vector>
  </TitlesOfParts>
  <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BORIO RIC_FINAL</dc:title>
  <dc:subject/>
  <dc:creator>cge0257</dc:creator>
  <cp:keywords/>
  <dc:description/>
  <cp:lastModifiedBy>Chantal Donzé</cp:lastModifiedBy>
  <cp:revision>4</cp:revision>
  <cp:lastPrinted>2026-09-10T17:16:00Z</cp:lastPrinted>
  <dcterms:created xsi:type="dcterms:W3CDTF">2026-09-10T15:38:00Z</dcterms:created>
  <dcterms:modified xsi:type="dcterms:W3CDTF">2026-09-10T17:18:00Z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2026-02-12T00:00:00Z</vt:filetime>
  </property>
  <property fmtid="{D5CDD505-2E9C-101B-9397-08002B2CF9AE}" pid="4" name="Creator">
    <vt:lpwstr>PScript5.dll Version 5.2.2</vt:lpwstr>
  </property>
  <property fmtid="{D5CDD505-2E9C-101B-9397-08002B2CF9AE}" pid="5" name="LastSaved">
    <vt:filetime>2026-09-10T00:00:00Z</vt:filetime>
  </property>
  <property fmtid="{D5CDD505-2E9C-101B-9397-08002B2CF9AE}" pid="6" name="Producer">
    <vt:lpwstr>Acrobat Distiller 10.1.16 (Windows)</vt:lpwstr>
  </property>
</Properties>
</file>